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E8685A">
        <w:rPr>
          <w:rFonts w:ascii="한컴바탕" w:eastAsia="한컴바탕" w:hAnsi="한컴바탕" w:cs="한컴바탕" w:hint="eastAsia"/>
          <w:b/>
          <w:sz w:val="40"/>
          <w:szCs w:val="40"/>
        </w:rPr>
        <w:t xml:space="preserve">2007 </w:t>
      </w:r>
      <w:r w:rsidR="00622863">
        <w:rPr>
          <w:rFonts w:ascii="한컴바탕" w:eastAsia="한컴바탕" w:hAnsi="한컴바탕" w:cs="한컴바탕" w:hint="eastAsia"/>
          <w:b/>
          <w:sz w:val="40"/>
          <w:szCs w:val="40"/>
        </w:rPr>
        <w:t>상속</w:t>
      </w:r>
      <w:r w:rsidR="00E8685A">
        <w:rPr>
          <w:rFonts w:ascii="한컴바탕" w:eastAsia="한컴바탕" w:hAnsi="한컴바탕" w:cs="한컴바탕" w:hint="eastAsia"/>
          <w:b/>
          <w:sz w:val="40"/>
          <w:szCs w:val="40"/>
        </w:rPr>
        <w:t>(살인)법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9F470B"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E8685A">
        <w:rPr>
          <w:rFonts w:ascii="한컴바탕" w:eastAsia="한컴바탕" w:hAnsi="한컴바탕" w:cs="한컴바탕" w:hint="eastAsia"/>
          <w:sz w:val="28"/>
          <w:szCs w:val="28"/>
        </w:rPr>
        <w:t>2007제95호, 200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7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1</w:t>
      </w:r>
      <w:r w:rsidR="00E8685A">
        <w:rPr>
          <w:rFonts w:ascii="한컴바탕" w:eastAsia="한컴바탕" w:hAnsi="한컴바탕" w:cs="한컴바탕" w:hint="eastAsia"/>
          <w:sz w:val="28"/>
          <w:szCs w:val="28"/>
        </w:rPr>
        <w:t>0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E8685A">
        <w:rPr>
          <w:rFonts w:ascii="한컴바탕" w:eastAsia="한컴바탕" w:hAnsi="한컴바탕" w:cs="한컴바탕" w:hint="eastAsia"/>
          <w:sz w:val="28"/>
          <w:szCs w:val="28"/>
        </w:rPr>
        <w:t>18</w:t>
      </w:r>
      <w:proofErr w:type="gramStart"/>
      <w:r w:rsidR="00E8685A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EF6EA1" w:rsidRPr="00B60B32" w:rsidRDefault="001E24C9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1</w:t>
            </w:r>
            <w:r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Title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This Act is the Succession (Homicide) Act 2007.</w:t>
            </w:r>
          </w:p>
          <w:p w:rsidR="00EF6EA1" w:rsidRPr="001E24C9" w:rsidRDefault="00EF6EA1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EF6EA1" w:rsidRPr="00B60B32" w:rsidRDefault="001E24C9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2</w:t>
            </w:r>
            <w:r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Commencement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This Act comes into force on the day that is 1 month after the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date on which this Act receives the Royal assent.</w:t>
            </w:r>
          </w:p>
          <w:p w:rsidR="00EF6EA1" w:rsidRPr="001E24C9" w:rsidRDefault="00EF6EA1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EF6EA1" w:rsidRPr="001E24C9" w:rsidRDefault="00EF6EA1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1E24C9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Part 1</w:t>
            </w:r>
          </w:p>
          <w:p w:rsidR="00EF6EA1" w:rsidRPr="001E24C9" w:rsidRDefault="00EF6EA1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1E24C9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Preliminary provisions</w:t>
            </w:r>
          </w:p>
          <w:p w:rsidR="00EF6EA1" w:rsidRPr="00B60B32" w:rsidRDefault="001E24C9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3</w:t>
            </w:r>
            <w:r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Purpose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The purpose of this Act is to codify the law that prevents a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person (the killer) who kills another person (the victim) by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committing homicide from benefiting as a result of the victim’s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death from—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the victim’s estate; or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any other property arrangement.</w:t>
            </w:r>
          </w:p>
          <w:p w:rsidR="00EF6EA1" w:rsidRPr="00B60B32" w:rsidRDefault="001E24C9" w:rsidP="00B60B32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lastRenderedPageBreak/>
              <w:t>4</w:t>
            </w:r>
            <w:r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Interpretation</w:t>
            </w:r>
          </w:p>
          <w:p w:rsidR="00EF6EA1" w:rsidRPr="00B60B32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In this Act, unless the context otherwise requires,—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1277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assisted suicide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—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means the killing of a person by another person directly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or indirectly if, immediately before death, the deceased asked the other person to help them to commit suicide;</w:t>
            </w:r>
          </w:p>
          <w:p w:rsidR="00EF6EA1" w:rsidRPr="00B60B32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but</w:t>
            </w:r>
          </w:p>
          <w:p w:rsid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does not include a killing where the deceased formed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the wish to commit suicide, or resolved to commit suicide, or acted on that wish or resolve, as a consequence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of any form of persuasion by the other person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1277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homicide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means the killing of a person or a child who has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not become a person, by another person, intentionally or recklessly by any means that would be an offence under New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Zealand law, whether done in New Zealand or elsewhere, but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does not include—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 killing caused by negligent act or omission; or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infanticide under section 178 of the Crimes Act 1961;</w:t>
            </w:r>
          </w:p>
          <w:p w:rsidR="00EF6EA1" w:rsidRPr="00B60B32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or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 killing of a person by another in pursuance of a suicide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pact; or</w:t>
            </w:r>
          </w:p>
          <w:p w:rsid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(d)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an assisted suicide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killer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means a person who kills a person or a child who has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not become a person in any manner and in any circumstances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that the person is guilty, either alone or with another person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or persons, of the homicide of the person or child who has not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become a person or would be so guilty if the killing had been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done in New Zealand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non-probate assets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, in relation to any victim, means all property passing on the death of the victim because of any of the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following transactions: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 nomination as defined in section 68A of the Administration Act 1969: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gifts that the victim made in contemplation of death: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trusts settled by the victim that were revocable by the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victim in his or her lifetime: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(d)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beneficial powers of appointment that were exercisable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by the victim in his or her lifetime:</w:t>
            </w:r>
          </w:p>
          <w:p w:rsid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(e)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joint tenancies held by the victim and any other person</w:t>
            </w:r>
          </w:p>
          <w:p w:rsidR="00B60B32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person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means a human being</w:t>
            </w:r>
            <w:r w:rsidR="00B60B32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property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means everything that is capable of being owned,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whether it is real or personal property, and whether it is tangible or intangible property, and includes any estate or interest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 property </w:t>
            </w:r>
          </w:p>
          <w:p w:rsidR="0061277D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suicide pact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has the meaning given in section 180(3) of the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Crimes Act 1961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61277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victim</w:t>
            </w:r>
            <w:proofErr w:type="gramEnd"/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means a person, or a child that has not become a person,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who is killed by a killer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1277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will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includes a codicil.</w:t>
            </w:r>
          </w:p>
          <w:p w:rsidR="00EF6EA1" w:rsidRPr="00B60B32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For the purposes of this Act, an unborn child becomes a person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in the circumstances described in section 159 of the Crimes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Act 1961.</w:t>
            </w:r>
          </w:p>
          <w:p w:rsidR="00EF6EA1" w:rsidRPr="001E24C9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5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Effect and application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This Act replaces the rules of law, equity, and public policy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that prevent a killer from receiving, becoming entitled to, or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claiming interests in property as a result of the death of the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killer’s victim.</w:t>
            </w:r>
          </w:p>
          <w:p w:rsidR="00EF6EA1" w:rsidRPr="00B60B32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This Act applies to interests in and claims against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property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resulting from the death of a victim after the commencement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of this Act, but does not affect—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any interest in or claim against property that is the subject of a proceeding commenced before the commencement of this Act, whether or not judgment has been delivered in that proceeding or an appeal against judgment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was commenced before that time; or</w:t>
            </w:r>
          </w:p>
          <w:p w:rsidR="00EF6EA1" w:rsidRPr="00B60B32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any interest in property a person (other than a killer)</w:t>
            </w:r>
            <w:r w:rsidR="001E24C9"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acquired for value; or</w:t>
            </w:r>
          </w:p>
          <w:p w:rsidR="00EF6EA1" w:rsidRPr="00B60B32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the entitlement of any person under a contract.</w:t>
            </w:r>
          </w:p>
          <w:p w:rsidR="00EF6EA1" w:rsidRPr="00B60B32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(3)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Subsection (2) overrides subsection (1).</w:t>
            </w:r>
          </w:p>
          <w:p w:rsidR="00EF6EA1" w:rsidRPr="00B60B32" w:rsidRDefault="001E24C9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6</w:t>
            </w:r>
            <w:r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Act binds the Crown</w:t>
            </w:r>
          </w:p>
          <w:p w:rsidR="00EF6EA1" w:rsidRPr="00B60B32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This Act binds the Crown.</w:t>
            </w:r>
          </w:p>
          <w:p w:rsidR="00EF6EA1" w:rsidRPr="001E24C9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EF6EA1" w:rsidRPr="001E24C9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1E24C9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Part 2</w:t>
            </w:r>
          </w:p>
          <w:p w:rsidR="00EF6EA1" w:rsidRPr="001E24C9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1E24C9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Effect of homicide on rights of succession</w:t>
            </w: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i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Cs/>
                <w:i/>
                <w:sz w:val="28"/>
                <w:szCs w:val="28"/>
                <w:lang w:val="fr-FR"/>
              </w:rPr>
              <w:t>Disentitlements of killers to property</w:t>
            </w:r>
          </w:p>
          <w:p w:rsidR="00EF6EA1" w:rsidRPr="00B60B32" w:rsidRDefault="001E24C9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7</w:t>
            </w:r>
            <w:r w:rsidRPr="00B60B3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Disentitlement of killers under will or intestacy</w:t>
            </w:r>
          </w:p>
          <w:p w:rsidR="007B5A2F" w:rsidRPr="00B60B32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P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 killer is not entitled to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any interest in property arising under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sz w:val="28"/>
                <w:szCs w:val="28"/>
              </w:rPr>
              <w:t>a will of the killer’s victim.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is not entitled to any interest in property arising on the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intestacy, or partial intestacy, of the killer’s victim.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(3)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Subject to any express testamentary direction to the contrary,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any interest in property that a killer is not entitled to under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subsection (1) or subsection (2) is to pass or be distributed as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if the killer had died before the killer’s victim.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(4)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Subsections (1) and (3) are subject to section 10(3) to (5).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B60B32" w:rsidRDefault="001E24C9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8</w:t>
            </w:r>
            <w:r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Disentitlement of killer to victim’s non-probate assets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is not entitled to any property interest in any non-probate assets of the killer’s victim which, but for this subsection,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would have passed to the killer on the death of the victim.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Any property interest that a killer is not entitled to under subsection (1) is to pass or be distributed as if the killer had died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before the victim.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(3)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Despite subsection (2), property that is owned in joint tenancy by the victim, the victim’s killer, and any other person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(if any) devolves at the death of the victim as if the property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were owned by each of them as tenants in common in equal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shares.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E24C9" w:rsidRPr="00B60B32" w:rsidRDefault="001E24C9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9</w:t>
            </w:r>
            <w:r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Disentitlement to apply under Family Protection Act 1955</w:t>
            </w:r>
            <w:r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is not entitled to apply under the Family Protection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Act 1955 for provision out of the estate of the killer’s victim.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B60B32" w:rsidRDefault="001E24C9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10</w:t>
            </w:r>
            <w:r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Restriction of killer’s claims as to matrimonial property,</w:t>
            </w:r>
            <w:r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EF6EA1"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testamentary promises, and restitution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who has a valid claim against the estate of a victim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the killer under the Matrimonial Property Act 1963 or the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Property (Relationships) Act 1976 or a valid claim for restitution for economic benefits conferred on the killer’s victim is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entitled in respect of that claim only to a benefit calculated in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accordance with subsection (2).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(2)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benefit referred to in subsection (1) must be calculated to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ensure that—</w:t>
            </w:r>
          </w:p>
          <w:p w:rsidR="00EF6EA1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killer is not deprived of the benefit to which the killer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is entitled for the services or other economic benefits he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or she provided to the killer’s victim; but</w:t>
            </w:r>
          </w:p>
          <w:p w:rsidR="00EF6EA1" w:rsidRPr="00EF6EA1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</w:t>
            </w:r>
            <w:proofErr w:type="gramEnd"/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killer’s benefit is not made more certain or more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valuable as a result of the death of the killer’s victim.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(3)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who is not entitled under section 7 to any interest in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property arising under a will of the killer’s victim—</w:t>
            </w:r>
          </w:p>
          <w:p w:rsidR="00EF6EA1" w:rsidRPr="00EF6EA1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may make an application under the Law Reform (Testamentary Promises) Act 1949 in respect of the victim’s</w:t>
            </w:r>
            <w:r w:rsidR="0061277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estate; and</w:t>
            </w:r>
          </w:p>
          <w:p w:rsidR="00EF6EA1" w:rsidRPr="00EF6EA1" w:rsidRDefault="001E24C9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must</w:t>
            </w:r>
            <w:proofErr w:type="gramEnd"/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be treated for the purposes of that application as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if the victim had failed to make testamentary provision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for the killer.</w:t>
            </w:r>
          </w:p>
          <w:p w:rsidR="00EF6EA1" w:rsidRPr="00EF6EA1" w:rsidRDefault="001E24C9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(4)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who has a valid claim against the estate of a victim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the killer under the Law Reform (Testamentary Promises)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Act 1949 is entitled in respect of that claim only to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a benefit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F6EA1"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calculated in accordance with subsection (5).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(5)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benefit referred to in subsection (4) must be calculated to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ensure that the killer’s benefit is no more certain or more valuable than the killer would have been entitled to if the victim of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killer had continued to live for the period reasonably expected before the victim was killed.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11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Disentitlement of killer to enhanced benefits generally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This section applies only in respect of property of a victim that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is not—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within the victim’s estate; or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</w:t>
            </w:r>
            <w:proofErr w:type="gramEnd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non-probate asset of the victim.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killer whose interest in or claim against property to which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this section applies is affected by the death of the killer’s victim is not entitled to any more certain or more valuable interest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 the property as a result of the death of the victim than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killer would otherwise have been entitled to.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(3)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Without limiting subsection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(2), a killer is not entitled to benefit in respect of any property to which this section applies as a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result of the death of the killer’s victim if—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killing prevented the birth of the victim; or</w:t>
            </w:r>
          </w:p>
          <w:p w:rsid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killing altered the order in which it could reasonably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have been expected that the killer and the victim would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have died; or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killing prevented the victim from reaching any particular age or satisfying any other condition; or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(d)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killing reduced or closed the membership of a class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beneficiaries that included the victim; or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(e)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</w:t>
            </w:r>
            <w:proofErr w:type="gramEnd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killing shortened the period during which the victim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could reasonably have been expected to possess an interest in property in which the killer has an interest in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remainder.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E24C9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12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Applications by victim’s estate under section 88(2) of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Property (Relationships) Act 1976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When applying section 88(2) of the Property (Relationships)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Act 1976, the court must treat the refusal of leave under that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provision as causing a serious injustice if the refusal of leave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would allow the killer to retain a more certain or more valuable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interest in the property.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13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Caveat against dealing with land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ab/>
              <w:t>If an interested person claims that an owner of an undivided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estate or interest in land as a joint tenant with a victim is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killer of that victim, the interested person may lodge a caveat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 accordance with section 137 of the Land Transfer Act 1952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 respect of that estate or interest.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For as long as a caveat under this section remains in force,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Registrar-General of Land must not register a transmission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on survivorship to the alleged killer, or the alleged killer and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any other joint tenant, of any estate or interest affected by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caveat.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(3)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The provisions of the Land Transfer Act 1952, other than section 141(1), apply to a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caveat lodged under this section.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(4)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Section 141(2) and (3) of the Land Transfer Act 1952 apply,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with any necessary modifications, in respect of a caveat lodged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under this section.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14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Evidential effect of conviction in New Zealand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conviction in New Zealand of a person for the homicide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another person or a child that has not become a person is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conclusive evidence for the purposes of this Act that the person is guilty of that homicide, unless that conviction has been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quashed.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certificate issued under section 146A of the Sentencing Act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2002 is conclusive evidence that a person convicted of an offence of unlawfully killing another person or a child that has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not become a person is for the purposes of this Act guilty of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homicide of that other person or child that has not become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person.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(3)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Subsection (2) is subject to subsection (1).</w:t>
            </w: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15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Evidential effect of acquittal in New Zealand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acquittal in New Zealand of a person on the grounds of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that person’s insanity in respect of the homicide of another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person or a child that has not become a person is conclusive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evidence for the purposes of this Act that the person is not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guilty of that homicide.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B60B32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16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Evidence if no criminal prosecution or unsuccessful</w:t>
            </w:r>
            <w:r w:rsidR="001E24C9" w:rsidRPr="00B60B3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B60B32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prosecution in New Zealand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This section applies if,—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 any proceedings in which the application of this Act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is in issue, any party alleges that another person is guilty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the homicide of a person or a child that has not become a person; and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person who is alleged to be guilty of the homicide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another person or child that has not become a person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has—</w:t>
            </w:r>
          </w:p>
          <w:p w:rsidR="00EF6EA1" w:rsidRPr="00EF6EA1" w:rsidRDefault="00EF6EA1" w:rsidP="00B60B32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proofErr w:type="spellStart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</w:t>
            </w:r>
            <w:proofErr w:type="spellEnd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not been prosecuted in New Zealand in respect of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that homicide, whether or not the person has been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prosecuted, convicted, or acquitted elsewhere; or</w:t>
            </w:r>
          </w:p>
          <w:p w:rsidR="00EF6EA1" w:rsidRPr="00EF6EA1" w:rsidRDefault="00EF6EA1" w:rsidP="00B60B32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(ii)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been prosecuted in New Zealand in respect of that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homicide but has been acquitted other than on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grounds of insanity or the prosecution has been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stayed or withdrawn, whether or not the person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has been prosecuted, convicted, or acquitted elsewhere.</w:t>
            </w:r>
          </w:p>
          <w:p w:rsidR="00EF6EA1" w:rsidRPr="00EF6EA1" w:rsidRDefault="00EF6EA1" w:rsidP="00B60B32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If this section applies,—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court hearing the proceedings may decide for the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purposes of this Act whether the killing of a person or a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child that has not become a person has taken place and,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if so, whether, if the alleged killer had been prosecuted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in New Zealand, he or she—</w:t>
            </w:r>
          </w:p>
          <w:p w:rsidR="00EF6EA1" w:rsidRPr="00EF6EA1" w:rsidRDefault="00EF6EA1" w:rsidP="00B60B32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proofErr w:type="spellStart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i</w:t>
            </w:r>
            <w:proofErr w:type="spellEnd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would be guilty of the homicide of that person or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child that has not become a person; or</w:t>
            </w:r>
          </w:p>
          <w:p w:rsidR="00EF6EA1" w:rsidRPr="00EF6EA1" w:rsidRDefault="00EF6EA1" w:rsidP="00B60B32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(ii)</w:t>
            </w:r>
            <w:r w:rsidR="00B60B3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would by reason of insanity not be guilty of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homicide of that person or child that has not become a person: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person who alleges that another person is guilty of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homicide for the purposes of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this Act must satisfy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court of that fact on the balance of probabilities: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 person who alleges that he or she is not guilty of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homicide for the purpo</w:t>
            </w:r>
            <w:r w:rsidR="001E24C9">
              <w:rPr>
                <w:rFonts w:ascii="한컴바탕" w:eastAsia="한컴바탕" w:hAnsi="한컴바탕" w:cs="한컴바탕"/>
                <w:sz w:val="28"/>
                <w:szCs w:val="28"/>
              </w:rPr>
              <w:t>ses of this Act by reason of in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sanity must satisfy the court of that fact on the balance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of probabilities:</w:t>
            </w:r>
          </w:p>
          <w:p w:rsidR="00EF6EA1" w:rsidRPr="00EF6EA1" w:rsidRDefault="00EF6EA1" w:rsidP="00B60B32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(d)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</w:t>
            </w:r>
            <w:proofErr w:type="gramEnd"/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conviction elsewhere than in New Zealand of a person in respect of homicide is, for the purposes of this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Act, admissible evidence as to whether the person is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guilty or not guilty of the homicide and is to be given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any weight that the court determines.</w:t>
            </w:r>
          </w:p>
          <w:p w:rsidR="00EF6EA1" w:rsidRPr="00EF6EA1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6EA1" w:rsidRPr="001B5BDE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1B5BDE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Amendments to other enactments</w:t>
            </w:r>
          </w:p>
          <w:p w:rsidR="001E24C9" w:rsidRPr="001B5BDE" w:rsidRDefault="00EF6EA1" w:rsidP="00B60B32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B5BDE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17</w:t>
            </w:r>
            <w:r w:rsidR="001E24C9" w:rsidRPr="001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1B5BDE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Amendments to other enactments</w:t>
            </w:r>
          </w:p>
          <w:p w:rsidR="00EF6EA1" w:rsidRPr="00EF6EA1" w:rsidRDefault="00EF6EA1" w:rsidP="001B5BD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The enactments specified in the Schedule are amended in the</w:t>
            </w:r>
            <w:r w:rsidR="001E2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EF6EA1">
              <w:rPr>
                <w:rFonts w:ascii="한컴바탕" w:eastAsia="한컴바탕" w:hAnsi="한컴바탕" w:cs="한컴바탕"/>
                <w:sz w:val="28"/>
                <w:szCs w:val="28"/>
              </w:rPr>
              <w:t>manner set out in the Schedule.</w:t>
            </w:r>
          </w:p>
        </w:tc>
        <w:tc>
          <w:tcPr>
            <w:tcW w:w="4612" w:type="dxa"/>
          </w:tcPr>
          <w:p w:rsidR="00E4443B" w:rsidRDefault="000A3F15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lastRenderedPageBreak/>
              <w:t>제1조 제목</w:t>
            </w:r>
          </w:p>
          <w:p w:rsidR="000A3F15" w:rsidRPr="00502C36" w:rsidRDefault="000A3F15" w:rsidP="00502C36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02C3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법은 </w:t>
            </w:r>
            <w:r w:rsidRPr="00502C36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Pr="00502C3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2007 </w:t>
            </w:r>
            <w:r w:rsidR="00E46C3D" w:rsidRPr="00502C36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</w:t>
            </w:r>
            <w:r w:rsidRPr="00502C36">
              <w:rPr>
                <w:rFonts w:ascii="한컴바탕" w:eastAsia="한컴바탕" w:hAnsi="한컴바탕" w:cs="한컴바탕" w:hint="eastAsia"/>
                <w:sz w:val="28"/>
                <w:szCs w:val="28"/>
              </w:rPr>
              <w:t>(살인)법</w:t>
            </w:r>
            <w:r w:rsidRPr="00502C36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Pr="00502C3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이라 한다.</w:t>
            </w:r>
          </w:p>
          <w:p w:rsidR="000A3F15" w:rsidRDefault="000A3F15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1E90" w:rsidRPr="007B1965" w:rsidRDefault="00E61E90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196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제2조 </w:t>
            </w:r>
            <w:r w:rsidR="00EB2183" w:rsidRPr="007B196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시행</w:t>
            </w:r>
          </w:p>
          <w:p w:rsidR="00EB2183" w:rsidRDefault="00A64C0A" w:rsidP="00502C36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법은 왕실승인을 받은 날부터 </w:t>
            </w:r>
            <w:r w:rsidR="00096513">
              <w:rPr>
                <w:rFonts w:ascii="한컴바탕" w:eastAsia="한컴바탕" w:hAnsi="한컴바탕" w:cs="한컴바탕" w:hint="eastAsia"/>
                <w:sz w:val="28"/>
                <w:szCs w:val="28"/>
              </w:rPr>
              <w:t>1월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C00618">
              <w:rPr>
                <w:rFonts w:ascii="한컴바탕" w:eastAsia="한컴바탕" w:hAnsi="한컴바탕" w:cs="한컴바탕" w:hint="eastAsia"/>
                <w:sz w:val="28"/>
                <w:szCs w:val="28"/>
              </w:rPr>
              <w:t>경과하는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날에 </w:t>
            </w:r>
            <w:r w:rsidR="00B17D84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시행한다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.</w:t>
            </w:r>
          </w:p>
          <w:p w:rsidR="00B17D84" w:rsidRDefault="00B17D84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17D84" w:rsidRPr="001B00AF" w:rsidRDefault="00B17D84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17D84" w:rsidRPr="008938A1" w:rsidRDefault="00B17D84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938A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제1장 </w:t>
            </w:r>
          </w:p>
          <w:p w:rsidR="0067227F" w:rsidRPr="008938A1" w:rsidRDefault="00742A60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예비규정</w:t>
            </w:r>
          </w:p>
          <w:p w:rsidR="0067227F" w:rsidRPr="008938A1" w:rsidRDefault="0067227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938A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제3조 </w:t>
            </w:r>
            <w:r w:rsidR="009D2AEA" w:rsidRPr="008938A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목적</w:t>
            </w:r>
          </w:p>
          <w:p w:rsidR="00615363" w:rsidRDefault="00615363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법의 목적은 살인을 함으로써</w:t>
            </w:r>
            <w:r w:rsidR="0001656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다른 사람(희생자)을 </w:t>
            </w:r>
            <w:r w:rsidR="0001656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살해한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사람(살인자)이 다음</w:t>
            </w:r>
            <w:r w:rsidR="00646F1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각호와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같은 경우 희생자의 사망으로 </w:t>
            </w:r>
            <w:r w:rsidR="00461D8D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이득을 받는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것을 </w:t>
            </w:r>
            <w:r w:rsidR="006A6B90">
              <w:rPr>
                <w:rFonts w:ascii="한컴바탕" w:eastAsia="한컴바탕" w:hAnsi="한컴바탕" w:cs="한컴바탕" w:hint="eastAsia"/>
                <w:sz w:val="28"/>
                <w:szCs w:val="28"/>
              </w:rPr>
              <w:t>금지하</w:t>
            </w:r>
            <w:r w:rsidR="004366FA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법률을 성문화 하는 것이다. </w:t>
            </w:r>
          </w:p>
          <w:p w:rsidR="00ED5696" w:rsidRPr="005249C1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15363" w:rsidRDefault="00615363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6A6B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희생자의 </w:t>
            </w:r>
            <w:r w:rsidR="003C770F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</w:t>
            </w:r>
            <w:r w:rsidR="006A6B90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재산, 또는</w:t>
            </w:r>
          </w:p>
          <w:p w:rsidR="006A6B90" w:rsidRPr="00B17D84" w:rsidRDefault="006A6B90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기타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다른 재산</w:t>
            </w:r>
            <w:r w:rsidR="00B92FAF">
              <w:rPr>
                <w:rFonts w:ascii="한컴바탕" w:eastAsia="한컴바탕" w:hAnsi="한컴바탕" w:cs="한컴바탕" w:hint="eastAsia"/>
                <w:sz w:val="28"/>
                <w:szCs w:val="28"/>
              </w:rPr>
              <w:t>합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</w:p>
          <w:p w:rsidR="00B17D84" w:rsidRDefault="00B17D84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361FE" w:rsidRPr="00ED5696" w:rsidRDefault="009361FE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ED569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제4조 해석</w:t>
            </w:r>
          </w:p>
          <w:p w:rsidR="009361FE" w:rsidRDefault="008B5B58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이 법에서, 내용상 달리 정하지 않는다면, </w:t>
            </w:r>
          </w:p>
          <w:p w:rsidR="008B5B58" w:rsidRDefault="008B5B58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조력자살,</w:t>
            </w:r>
          </w:p>
          <w:p w:rsidR="008B5B58" w:rsidRDefault="008B5B58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만약, 사망직전에, 사망한 사람이 다른 사람에게 자살을 도와달라고 요청하였다면 직접적으로 또는 간접적으로 다른 사람에 의해 사람을 죽이는 것을 의미한다. </w:t>
            </w:r>
          </w:p>
          <w:p w:rsidR="008B5B58" w:rsidRDefault="008B5B58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그러나</w:t>
            </w:r>
          </w:p>
          <w:p w:rsidR="008B5B58" w:rsidRDefault="008B5B58" w:rsidP="008B5B58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5B58" w:rsidRDefault="008B5B58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9C3A8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고인이 다른 사람의 설득의 결과로 자살을 희망한다는 의사를 형성하였거나 자살을 결심하였거나 그러한 의사나 결심으로 행동한 경우의 </w:t>
            </w:r>
            <w:r w:rsidR="00CE18D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살해를 포함하지는 않는다. </w:t>
            </w:r>
          </w:p>
          <w:p w:rsidR="00C52B2A" w:rsidRDefault="00C52B2A" w:rsidP="00CE18D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52B2A" w:rsidRDefault="00C52B2A" w:rsidP="00CE18D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52B2A" w:rsidRPr="00254B95" w:rsidRDefault="00C52B2A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살인은 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다른 사람에 의</w:t>
            </w:r>
            <w:r w:rsidR="00E27CF8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45ED0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의도적</w:t>
            </w:r>
            <w:r w:rsidR="00E27CF8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</w:t>
            </w:r>
            <w:r w:rsidR="00345ED0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부주의</w:t>
            </w:r>
            <w:r w:rsidR="004B108A">
              <w:rPr>
                <w:rFonts w:ascii="한컴바탕" w:eastAsia="한컴바탕" w:hAnsi="한컴바탕" w:cs="한컴바탕" w:hint="eastAsia"/>
                <w:sz w:val="28"/>
                <w:szCs w:val="28"/>
              </w:rPr>
              <w:t>로 인</w:t>
            </w:r>
            <w:r w:rsidR="003D2DDE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하여</w:t>
            </w:r>
            <w:r w:rsidR="00345ED0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뉴질랜드 법률에 따르면 위반행위가 되는 방법으로</w:t>
            </w:r>
            <w:r w:rsidR="008E5446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, 뉴질랜드 내에서 또는 밖에서,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사람이나 아동</w:t>
            </w:r>
            <w:r w:rsidR="008E5446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살해</w:t>
            </w:r>
            <w:r w:rsidR="008E5446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 것을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의미한다. </w:t>
            </w:r>
            <w:r w:rsidR="008E5446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그러나 </w:t>
            </w:r>
            <w:r w:rsidR="00BD145D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각호를</w:t>
            </w:r>
            <w:r w:rsidR="008E5446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포함하지는 않는다.</w:t>
            </w:r>
            <w:r w:rsidR="008E5446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</w:p>
          <w:p w:rsidR="00DD234C" w:rsidRDefault="00DD234C" w:rsidP="008E5446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D234C" w:rsidRDefault="00DD234C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(a)</w:t>
            </w:r>
            <w:r w:rsidR="000C255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태만한 행위나 </w:t>
            </w:r>
            <w:proofErr w:type="spellStart"/>
            <w:r w:rsidR="000C2556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부작위로</w:t>
            </w:r>
            <w:proofErr w:type="spellEnd"/>
            <w:r w:rsidR="000C255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일어난 살해, 또는</w:t>
            </w:r>
          </w:p>
          <w:p w:rsidR="000C2556" w:rsidRDefault="000C255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62335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5674F9">
              <w:rPr>
                <w:rFonts w:ascii="한컴바탕" w:eastAsia="한컴바탕" w:hAnsi="한컴바탕" w:cs="한컴바탕" w:hint="eastAsia"/>
                <w:sz w:val="28"/>
                <w:szCs w:val="28"/>
              </w:rPr>
              <w:t>1961 형법</w:t>
            </w:r>
            <w:r w:rsidR="0062335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5674F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제178조에 </w:t>
            </w:r>
            <w:r w:rsidR="005335D2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해당하는</w:t>
            </w:r>
            <w:r w:rsidR="005674F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335D2">
              <w:rPr>
                <w:rFonts w:ascii="한컴바탕" w:eastAsia="한컴바탕" w:hAnsi="한컴바탕" w:cs="한컴바탕" w:hint="eastAsia"/>
                <w:sz w:val="28"/>
                <w:szCs w:val="28"/>
              </w:rPr>
              <w:t>영</w:t>
            </w:r>
            <w:r w:rsidR="005674F9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아살해, 또는</w:t>
            </w:r>
          </w:p>
          <w:p w:rsidR="005674F9" w:rsidRDefault="005674F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(c) 동반자살</w:t>
            </w:r>
            <w:r w:rsidR="008149B4">
              <w:rPr>
                <w:rFonts w:ascii="한컴바탕" w:eastAsia="한컴바탕" w:hAnsi="한컴바탕" w:cs="한컴바탕" w:hint="eastAsia"/>
                <w:sz w:val="28"/>
                <w:szCs w:val="28"/>
              </w:rPr>
              <w:t>합의</w:t>
            </w:r>
            <w:r w:rsidR="00CF7A47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따른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다른 사람에 의한 살해, 또는</w:t>
            </w:r>
          </w:p>
          <w:p w:rsidR="005674F9" w:rsidRDefault="005674F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1E1198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조력자살</w:t>
            </w:r>
          </w:p>
          <w:p w:rsidR="00CB0D31" w:rsidRDefault="00CB0D31" w:rsidP="005674F9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5674F9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B0D31" w:rsidRPr="00254B95" w:rsidRDefault="00CB0D3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살인자는 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사람이나 아동 </w:t>
            </w:r>
            <w:proofErr w:type="spellStart"/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살인죄가되는</w:t>
            </w:r>
            <w:proofErr w:type="spellEnd"/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뉴질랜드에서 살인이 발생하면 유죄가 되는 방법이나 상황에서, 홀로 또는 다른 사람과 함께, 사람이나 아동을 살해한 사람을 의미한다.</w:t>
            </w: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</w:p>
          <w:p w:rsidR="00905E7E" w:rsidRDefault="00905E7E" w:rsidP="00CB0D3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5E7E" w:rsidRDefault="00905E7E" w:rsidP="00CB0D3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5E7E" w:rsidRDefault="00905E7E" w:rsidP="00CB0D3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5E7E" w:rsidRDefault="00905E7E" w:rsidP="00CB0D3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5E7E" w:rsidRDefault="00905E7E" w:rsidP="00CB0D3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05E7E" w:rsidRPr="00254B95" w:rsidRDefault="004B44AB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자동상속자산은, 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희생자와 관련하여, </w:t>
            </w:r>
            <w:r w:rsidR="00F758F0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각호의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거래로 인하여 희생자의 </w:t>
            </w:r>
            <w:proofErr w:type="spellStart"/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사망시</w:t>
            </w:r>
            <w:proofErr w:type="spellEnd"/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양도되는 모든 재산을 의미한다.</w:t>
            </w: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</w:p>
          <w:p w:rsidR="004B44AB" w:rsidRDefault="004B44AB" w:rsidP="00CB0D3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B44AB" w:rsidRDefault="004B44AB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62335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0D579A">
              <w:rPr>
                <w:rFonts w:ascii="한컴바탕" w:eastAsia="한컴바탕" w:hAnsi="한컴바탕" w:cs="한컴바탕" w:hint="eastAsia"/>
                <w:sz w:val="28"/>
                <w:szCs w:val="28"/>
              </w:rPr>
              <w:t>1969행정법</w:t>
            </w:r>
            <w:r w:rsidR="0062335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0D579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제68A조에 정의된 </w:t>
            </w:r>
            <w:r w:rsidR="00791840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지정</w:t>
            </w:r>
          </w:p>
          <w:p w:rsidR="000D579A" w:rsidRDefault="000D579A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D579A" w:rsidRDefault="000D579A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A46449">
              <w:rPr>
                <w:rFonts w:ascii="한컴바탕" w:eastAsia="한컴바탕" w:hAnsi="한컴바탕" w:cs="한컴바탕" w:hint="eastAsia"/>
                <w:sz w:val="28"/>
                <w:szCs w:val="28"/>
              </w:rPr>
              <w:t>희생자가 죽음을 예상하여 했던 선물</w:t>
            </w:r>
          </w:p>
          <w:p w:rsidR="00A46449" w:rsidRDefault="00A4644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(c) 희생자 생전에 무효화할 수 있는 희생자가 정한 신탁</w:t>
            </w:r>
          </w:p>
          <w:p w:rsidR="00A46449" w:rsidRDefault="00A4644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46449" w:rsidRDefault="00A4644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(d)</w:t>
            </w:r>
            <w:r w:rsidR="00B2282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 생전에 </w:t>
            </w:r>
            <w:proofErr w:type="spellStart"/>
            <w:r w:rsidR="00B22822">
              <w:rPr>
                <w:rFonts w:ascii="한컴바탕" w:eastAsia="한컴바탕" w:hAnsi="한컴바탕" w:cs="한컴바탕" w:hint="eastAsia"/>
                <w:sz w:val="28"/>
                <w:szCs w:val="28"/>
              </w:rPr>
              <w:t>행사가능한</w:t>
            </w:r>
            <w:proofErr w:type="spellEnd"/>
            <w:r w:rsidR="00B2282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지</w:t>
            </w:r>
            <w:r w:rsidR="0032323F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</w:t>
            </w:r>
            <w:r w:rsidR="006029F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수혜권한</w:t>
            </w:r>
          </w:p>
          <w:p w:rsidR="002E78DF" w:rsidRDefault="002E78DF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E78DF" w:rsidRDefault="002E78DF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E78DF" w:rsidRDefault="0025527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(e)</w:t>
            </w:r>
            <w:r w:rsidR="00223EE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55C4D">
              <w:rPr>
                <w:rFonts w:ascii="한컴바탕" w:eastAsia="한컴바탕" w:hAnsi="한컴바탕" w:cs="한컴바탕" w:hint="eastAsia"/>
                <w:sz w:val="28"/>
                <w:szCs w:val="28"/>
              </w:rPr>
              <w:t>희생자와 다른 사람이 갖고 있던 공동명의</w:t>
            </w:r>
          </w:p>
          <w:p w:rsidR="00D87FF9" w:rsidRPr="00254B95" w:rsidRDefault="00D87FF9" w:rsidP="00254B95">
            <w:pPr>
              <w:adjustRightInd w:val="0"/>
              <w:snapToGrid w:val="0"/>
              <w:spacing w:line="400" w:lineRule="atLeast"/>
              <w:ind w:leftChars="100" w:left="20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사람은 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인간을 의미한다.</w:t>
            </w:r>
          </w:p>
          <w:p w:rsidR="00D87FF9" w:rsidRPr="00254B95" w:rsidRDefault="00D87FF9" w:rsidP="00254B95">
            <w:pPr>
              <w:adjustRightInd w:val="0"/>
              <w:snapToGrid w:val="0"/>
              <w:spacing w:line="400" w:lineRule="atLeast"/>
              <w:ind w:leftChars="100" w:left="20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재산은 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동산, 부동산, 유형 또는 무형의 </w:t>
            </w:r>
            <w:r w:rsidR="00642388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 불문하고, 소유될 수 있는 모든 것</w:t>
            </w:r>
            <w:r w:rsidR="00642388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 의미하</w:t>
            </w:r>
            <w:r w:rsidR="00E91C96">
              <w:rPr>
                <w:rFonts w:ascii="한컴바탕" w:eastAsia="한컴바탕" w:hAnsi="한컴바탕" w:cs="한컴바탕" w:hint="eastAsia"/>
                <w:sz w:val="28"/>
                <w:szCs w:val="28"/>
              </w:rPr>
              <w:t>며</w:t>
            </w:r>
            <w:r w:rsidR="00642388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623357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</w:t>
            </w:r>
            <w:r w:rsidR="00642388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 또는 재산에 부속되는 이익</w:t>
            </w:r>
            <w:r w:rsidR="00E91C9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</w:t>
            </w:r>
            <w:r w:rsidR="00642388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포함한다.</w:t>
            </w:r>
          </w:p>
          <w:p w:rsidR="008149B4" w:rsidRDefault="008149B4" w:rsidP="00642388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C2A59" w:rsidRDefault="001C2A59" w:rsidP="00642388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149B4" w:rsidRPr="00254B95" w:rsidRDefault="008149B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동반자살합의는 </w:t>
            </w:r>
            <w:r w:rsidR="0040063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⌜</w:t>
            </w:r>
            <w:r w:rsidR="003C7C0D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1961형법</w:t>
            </w:r>
            <w:r w:rsidR="00400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3C7C0D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제180조제(3)항</w:t>
            </w:r>
            <w:r w:rsidR="000073C4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의미와 같다. </w:t>
            </w:r>
          </w:p>
          <w:p w:rsidR="0093596B" w:rsidRPr="00254B95" w:rsidRDefault="0093596B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3596B" w:rsidRPr="00254B95" w:rsidRDefault="0093596B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희생자는 </w:t>
            </w:r>
            <w:r w:rsidR="00B46162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살인자에 의해 살해된 </w:t>
            </w:r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사람 또는 아동을 의미한다.</w:t>
            </w: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</w:p>
          <w:p w:rsidR="001F2DF8" w:rsidRPr="00254B95" w:rsidRDefault="001F2DF8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F2DF8" w:rsidRPr="00254B95" w:rsidRDefault="001F2DF8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유언장은 </w:t>
            </w:r>
            <w:proofErr w:type="spellStart"/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유언보충서를</w:t>
            </w:r>
            <w:proofErr w:type="spellEnd"/>
            <w:r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포함한다. </w:t>
            </w:r>
          </w:p>
          <w:p w:rsidR="000C1E6D" w:rsidRDefault="000C1E6D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2D5961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법의 목적상, 출생하지 않은 아동은 </w:t>
            </w:r>
            <w:r w:rsidR="00CF1F0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⌜</w:t>
            </w:r>
            <w:r w:rsidR="00CF1F01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>1961형법</w:t>
            </w:r>
            <w:r w:rsidR="00CF1F01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CF1F01" w:rsidRPr="00254B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제159조에 서술된 상황에서는 사람이 된다.</w:t>
            </w:r>
          </w:p>
          <w:p w:rsidR="000C1E6D" w:rsidRDefault="000C1E6D" w:rsidP="00642388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C1E6D" w:rsidRPr="00AB5BDE" w:rsidRDefault="000C1E6D" w:rsidP="00AB5BDE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제5조 효력 및 적용</w:t>
            </w:r>
          </w:p>
          <w:p w:rsidR="000C1E6D" w:rsidRDefault="003B7A4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(1)</w:t>
            </w:r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동법은 살인자가 </w:t>
            </w:r>
            <w:r w:rsidR="00400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살해한</w:t>
            </w:r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희생자의 사망으로 생기는 재산의 </w:t>
            </w:r>
            <w:r w:rsidR="00400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익획득, </w:t>
            </w:r>
            <w:r w:rsidR="00400638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</w:t>
            </w:r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취득, 또는 </w:t>
            </w:r>
            <w:r w:rsidR="00C5548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이익의 </w:t>
            </w:r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주장을 </w:t>
            </w:r>
            <w:proofErr w:type="spellStart"/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>막기위한</w:t>
            </w:r>
            <w:proofErr w:type="spellEnd"/>
            <w:r w:rsidR="00F44C2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법규, 형평, 및 공공정책을 대체한다.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9B2C52" w:rsidRDefault="009B2C5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B2C52" w:rsidRDefault="009B2C5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B2C52" w:rsidRDefault="009B2C5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동법은 동법의 </w:t>
            </w:r>
            <w:proofErr w:type="spellStart"/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시행이후</w:t>
            </w:r>
            <w:proofErr w:type="spellEnd"/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희생자의 사망으로 인하여 생기는 </w:t>
            </w:r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재산의 이익 및 청구에 적용된다. 그러나 다음</w:t>
            </w:r>
            <w:r w:rsidR="008C466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각호에</w:t>
            </w:r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영향을 </w:t>
            </w:r>
            <w:r w:rsidR="00376692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</w:t>
            </w:r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</w:t>
            </w:r>
            <w:r w:rsidR="004C2DE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92A7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않는다. </w:t>
            </w:r>
          </w:p>
          <w:p w:rsidR="002C3505" w:rsidRPr="004C2DE2" w:rsidRDefault="002C3505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C3505" w:rsidRDefault="002C3505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AC76AD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동법의 시행이전에 개시된 소송(</w:t>
            </w:r>
            <w:r w:rsidR="007B47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소송의</w:t>
            </w:r>
            <w:r w:rsidR="00AC76A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판결여부</w:t>
            </w:r>
            <w:r w:rsidR="00253CC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판결에 대한 항소가 그 시기 이전에 개시된 경우</w:t>
            </w:r>
            <w:r w:rsidR="007B47AB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 고려하지 아니한다</w:t>
            </w:r>
            <w:r w:rsidR="00AC76AD">
              <w:rPr>
                <w:rFonts w:ascii="한컴바탕" w:eastAsia="한컴바탕" w:hAnsi="한컴바탕" w:cs="한컴바탕" w:hint="eastAsia"/>
                <w:sz w:val="28"/>
                <w:szCs w:val="28"/>
              </w:rPr>
              <w:t>)의 대상이 되는 재산에 대한 이익이나 청구</w:t>
            </w:r>
            <w:r w:rsidR="00253CC6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</w:p>
          <w:p w:rsidR="00AC76AD" w:rsidRDefault="00AC76A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76AD" w:rsidRDefault="00AC76A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76AD" w:rsidRDefault="00AC76A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76AD" w:rsidRDefault="00AC76A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85A27" w:rsidRDefault="00A85A27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76AD" w:rsidRDefault="00AC76A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(살인자가 아닌) 사람이 </w:t>
            </w:r>
            <w:r w:rsidR="00113BA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대가를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주고 획득한 재산에 대한 이익, 또는</w:t>
            </w:r>
          </w:p>
          <w:p w:rsidR="00AC76AD" w:rsidRDefault="00AC76A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4A19D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계약으로 발생하는 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</w:t>
            </w:r>
          </w:p>
          <w:p w:rsidR="002B68B1" w:rsidRDefault="002B68B1" w:rsidP="00092A7E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B68B1" w:rsidRDefault="002B68B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제(2)항은 제(1)항에 우선한다. </w:t>
            </w:r>
          </w:p>
          <w:p w:rsidR="00AC76AD" w:rsidRPr="00AB5BDE" w:rsidRDefault="00256419" w:rsidP="00AB5BDE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제6조 </w:t>
            </w:r>
            <w:proofErr w:type="spellStart"/>
            <w:r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왕실구속법</w:t>
            </w:r>
            <w:proofErr w:type="spellEnd"/>
          </w:p>
          <w:p w:rsidR="00256419" w:rsidRDefault="00256419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동법은 왕실에도 유효하다.</w:t>
            </w:r>
          </w:p>
          <w:p w:rsidR="002031F8" w:rsidRDefault="002031F8" w:rsidP="00092A7E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031F8" w:rsidRPr="00AB5BDE" w:rsidRDefault="002031F8" w:rsidP="00AB5BDE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제2장 </w:t>
            </w:r>
          </w:p>
          <w:p w:rsidR="009965D2" w:rsidRDefault="009965D2" w:rsidP="00AB5BDE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상속권에 대한 살인의 효</w:t>
            </w:r>
            <w:r w:rsidR="00FB77E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력</w:t>
            </w:r>
          </w:p>
          <w:p w:rsidR="001C2A59" w:rsidRPr="00AB5BDE" w:rsidRDefault="001C2A59" w:rsidP="00AB5BDE">
            <w:pPr>
              <w:adjustRightInd w:val="0"/>
              <w:snapToGrid w:val="0"/>
              <w:spacing w:line="400" w:lineRule="atLeast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660E" w:rsidRPr="00254B95" w:rsidRDefault="00B9660E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i/>
                <w:sz w:val="28"/>
                <w:szCs w:val="28"/>
                <w:lang w:val="fr-FR"/>
              </w:rPr>
            </w:pPr>
            <w:r w:rsidRPr="00254B95">
              <w:rPr>
                <w:rFonts w:ascii="한컴바탕" w:eastAsia="한컴바탕" w:hAnsi="한컴바탕" w:cs="한컴바탕" w:hint="eastAsia"/>
                <w:bCs/>
                <w:i/>
                <w:sz w:val="28"/>
                <w:szCs w:val="28"/>
                <w:lang w:val="fr-FR"/>
              </w:rPr>
              <w:t xml:space="preserve">살인자의 </w:t>
            </w:r>
            <w:r w:rsidR="00B35667" w:rsidRPr="00254B95">
              <w:rPr>
                <w:rFonts w:ascii="한컴바탕" w:eastAsia="한컴바탕" w:hAnsi="한컴바탕" w:cs="한컴바탕" w:hint="eastAsia"/>
                <w:bCs/>
                <w:i/>
                <w:sz w:val="28"/>
                <w:szCs w:val="28"/>
                <w:lang w:val="fr-FR"/>
              </w:rPr>
              <w:t xml:space="preserve">재산에 대한 </w:t>
            </w:r>
            <w:r w:rsidRPr="00254B95">
              <w:rPr>
                <w:rFonts w:ascii="한컴바탕" w:eastAsia="한컴바탕" w:hAnsi="한컴바탕" w:cs="한컴바탕" w:hint="eastAsia"/>
                <w:bCs/>
                <w:i/>
                <w:sz w:val="28"/>
                <w:szCs w:val="28"/>
                <w:lang w:val="fr-FR"/>
              </w:rPr>
              <w:t>자격박탈</w:t>
            </w:r>
          </w:p>
          <w:p w:rsidR="00AC00EC" w:rsidRDefault="00AC00EC" w:rsidP="00092A7E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00EC" w:rsidRPr="00AB5BDE" w:rsidRDefault="00AC00EC" w:rsidP="00AB5BDE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AB5BDE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제7조 </w:t>
            </w:r>
            <w:r w:rsidR="00CD4DD8" w:rsidRPr="00AB5BDE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유언장 또는 </w:t>
            </w:r>
            <w:proofErr w:type="spellStart"/>
            <w:r w:rsidR="00CD4DD8" w:rsidRPr="00AB5BDE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무유언에</w:t>
            </w:r>
            <w:proofErr w:type="spellEnd"/>
            <w:r w:rsidR="00CD4DD8" w:rsidRPr="00AB5BDE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 따른 살인자의 자격박탈</w:t>
            </w:r>
          </w:p>
          <w:p w:rsidR="008F61B2" w:rsidRDefault="008F61B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E174C9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살인자는 살인자의 희생자</w:t>
            </w:r>
            <w:r w:rsidR="00E174C9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의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17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유언에 의해 발생하는 재산에 대한 </w:t>
            </w:r>
            <w:r w:rsidR="000613D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모든 </w:t>
            </w:r>
            <w:r w:rsidR="00E17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이익에 </w:t>
            </w:r>
            <w:r w:rsidR="001C6428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권리가 없다.</w:t>
            </w:r>
            <w:r w:rsidR="00E17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3F5E04" w:rsidRDefault="003F5E0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45091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살인자는 </w:t>
            </w:r>
            <w:r w:rsidR="00770927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살인자의 희생자의</w:t>
            </w:r>
            <w:r w:rsidR="004C2DE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450915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</w:t>
            </w:r>
            <w:proofErr w:type="spellEnd"/>
            <w:r w:rsidR="0077092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</w:t>
            </w:r>
            <w:proofErr w:type="spellStart"/>
            <w:r w:rsidR="006F07EA">
              <w:rPr>
                <w:rFonts w:ascii="한컴바탕" w:eastAsia="한컴바탕" w:hAnsi="한컴바탕" w:cs="한컴바탕" w:hint="eastAsia"/>
                <w:sz w:val="28"/>
                <w:szCs w:val="28"/>
              </w:rPr>
              <w:t>일부</w:t>
            </w:r>
            <w:r w:rsidR="00770927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</w:t>
            </w:r>
            <w:r w:rsidR="0045091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</w:t>
            </w:r>
            <w:proofErr w:type="spellEnd"/>
            <w:r w:rsidR="0045091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발생하는 모든 재산에 대한 이익에 </w:t>
            </w:r>
            <w:r w:rsidR="00F65DAD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권리가 없다.</w:t>
            </w:r>
            <w:r w:rsidR="0045091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7D3DB4" w:rsidRDefault="007D3DB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E62B5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이에 상반되는 유언서 명령의 표현에 </w:t>
            </w:r>
            <w:proofErr w:type="gramStart"/>
            <w:r w:rsidR="00E62B5D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대하여 ,제</w:t>
            </w:r>
            <w:proofErr w:type="gramEnd"/>
            <w:r w:rsidR="00E62B5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(1)항이나 제(2)항에 따라 살인자가 자격이 없는 재산에 대한 이익은 살인자가 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살해한</w:t>
            </w:r>
            <w:r w:rsidR="00E62B5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 전에 사망한 </w:t>
            </w:r>
            <w:r w:rsidR="001D4FA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것으로 의제되어 양도되거나 </w:t>
            </w:r>
            <w:r w:rsidR="00E62B5D">
              <w:rPr>
                <w:rFonts w:ascii="한컴바탕" w:eastAsia="한컴바탕" w:hAnsi="한컴바탕" w:cs="한컴바탕" w:hint="eastAsia"/>
                <w:sz w:val="28"/>
                <w:szCs w:val="28"/>
              </w:rPr>
              <w:t>분배된다.</w:t>
            </w:r>
          </w:p>
          <w:p w:rsidR="00697254" w:rsidRDefault="0069725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2B5D" w:rsidRDefault="00E62B5D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D277DE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제(1)항과 제(3)항은 제10조제(3)항부터 제(5)항의 대상이 된다.</w:t>
            </w: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82285" w:rsidRPr="00AB5BDE" w:rsidRDefault="00182285" w:rsidP="00AB5BDE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제8조 </w:t>
            </w:r>
            <w:r w:rsidR="004A44DD" w:rsidRPr="00AB5BD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희생자의 자동상속 재산에 대한 살인자의 자격박탈</w:t>
            </w:r>
          </w:p>
          <w:p w:rsidR="004A44DD" w:rsidRDefault="0044699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313BD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살인자는 </w:t>
            </w:r>
            <w:r w:rsidR="000F686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그러나 이 조항에 대해서, </w:t>
            </w:r>
            <w:r w:rsidR="009B1AAD">
              <w:rPr>
                <w:rFonts w:ascii="한컴바탕" w:eastAsia="한컴바탕" w:hAnsi="한컴바탕" w:cs="한컴바탕" w:hint="eastAsia"/>
                <w:sz w:val="28"/>
                <w:szCs w:val="28"/>
              </w:rPr>
              <w:t>희생자의 사망으로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B1AA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살인자에게 넘어가는 살인자의 희생자의 자동상속 자산에 대한 재산의 이익에 </w:t>
            </w:r>
            <w:r w:rsidR="00DB3B90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권리가</w:t>
            </w:r>
            <w:r w:rsidR="00313BD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없다</w:t>
            </w:r>
            <w:r w:rsidR="009B1AA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0F6861" w:rsidRDefault="000F686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51F97" w:rsidRDefault="00751F9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제(1)항에 따라 살인자가 </w:t>
            </w:r>
            <w:r w:rsidR="00F80D9F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잃는 모든 재산 이익은 살인자가 희생자보다 먼저 사망한 것으로 의제되어 </w:t>
            </w:r>
            <w:r w:rsidR="00853B35">
              <w:rPr>
                <w:rFonts w:ascii="한컴바탕" w:eastAsia="한컴바탕" w:hAnsi="한컴바탕" w:cs="한컴바탕" w:hint="eastAsia"/>
                <w:sz w:val="28"/>
                <w:szCs w:val="28"/>
              </w:rPr>
              <w:t>양도되거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나 분배된다. </w:t>
            </w:r>
          </w:p>
          <w:p w:rsidR="00FE09D3" w:rsidRDefault="00FE09D3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(3) </w:t>
            </w:r>
            <w:r w:rsidR="00D46B29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제(2)항에도 불구하고,</w:t>
            </w:r>
            <w:r w:rsidR="002C591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</w:t>
            </w:r>
            <w:r w:rsidR="006944AA">
              <w:rPr>
                <w:rFonts w:ascii="한컴바탕" w:eastAsia="한컴바탕" w:hAnsi="한컴바탕" w:cs="한컴바탕" w:hint="eastAsia"/>
                <w:sz w:val="28"/>
                <w:szCs w:val="28"/>
              </w:rPr>
              <w:t>, 희생자의 살인자</w:t>
            </w:r>
            <w:r w:rsidR="005C422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 기타 다른 사람(만약 있다면)</w:t>
            </w:r>
            <w:r w:rsidR="002C5913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의해 공동명의로 소유되는</w:t>
            </w:r>
            <w:r w:rsidR="00D46B2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C5913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</w:t>
            </w:r>
            <w:r w:rsidR="00E575E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="005C422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희생자의 사망시점에 </w:t>
            </w:r>
            <w:r w:rsidR="00E575E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재산이 공동임차인으로 </w:t>
            </w:r>
            <w:r w:rsidR="00F80D9F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동일한</w:t>
            </w:r>
            <w:r w:rsidR="00E575E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몫으로 소유되었던 것처럼 </w:t>
            </w:r>
            <w:r w:rsidR="005C422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이전된다. </w:t>
            </w:r>
          </w:p>
          <w:p w:rsidR="00735205" w:rsidRDefault="00735205" w:rsidP="000F6861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35205" w:rsidRDefault="00735205" w:rsidP="000F6861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0F6861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35205" w:rsidRPr="00254B95" w:rsidRDefault="00735205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제9조 </w:t>
            </w:r>
            <w:r w:rsidR="00581C9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⌜</w:t>
            </w:r>
            <w:r w:rsidR="008021A8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1955 가족보호법</w:t>
            </w:r>
            <w:r w:rsidR="00581C9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⌟</w:t>
            </w:r>
            <w:r w:rsidR="008021A8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에 의거해 적용되는 자격박탈</w:t>
            </w:r>
          </w:p>
          <w:p w:rsidR="007263B7" w:rsidRDefault="007263B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살인자는 </w:t>
            </w:r>
            <w:r w:rsidR="00E64EBE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1955 가족보호법</w:t>
            </w:r>
            <w:r w:rsidR="00E64EBE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따라 살인자의 희생자의 재산에 대</w:t>
            </w:r>
            <w:r w:rsidR="00F6492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한 </w:t>
            </w:r>
            <w:r w:rsidR="00A04A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제공을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신청할 자격을 갖지 못한다.</w:t>
            </w: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6492D" w:rsidRPr="00254B95" w:rsidRDefault="00F6492D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제10조 </w:t>
            </w:r>
            <w:r w:rsidR="00FF28DB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부부재산, 유언에 의한 토지 및 반환에 대한 살인자의 청구 제한</w:t>
            </w:r>
          </w:p>
          <w:p w:rsidR="000661C2" w:rsidRDefault="000661C2" w:rsidP="000F6861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661C2" w:rsidRDefault="000661C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>1963부부재산법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이나 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>1976 재산(관계)법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따라 살인자의 희생자의 상속재산에 대하여 유효한 청구 또는 살인자의 희생자에게 주어진 경제적 </w:t>
            </w:r>
            <w:proofErr w:type="spellStart"/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이익에대한</w:t>
            </w:r>
            <w:proofErr w:type="spellEnd"/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반환에 대한 유효한 청구를 할 수 있는 살인자는 제(2)항에 따라 산정된 혜택</w:t>
            </w:r>
            <w:r w:rsidR="001A1F5D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관해서</w:t>
            </w:r>
            <w:r w:rsidR="005C6F3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만 청구할 자격이 있다. </w:t>
            </w:r>
          </w:p>
          <w:p w:rsidR="00971271" w:rsidRDefault="0097127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271" w:rsidRDefault="0097127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271" w:rsidRDefault="00307358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(2) </w:t>
            </w:r>
            <w:r w:rsidR="00305D0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제(1)항에 관한 </w:t>
            </w:r>
            <w:r w:rsidR="00DE2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이득</w:t>
            </w:r>
            <w:r w:rsidR="004C579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</w:t>
            </w:r>
            <w:r w:rsidR="00305D0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반드시 </w:t>
            </w:r>
            <w:r w:rsidR="00B5706E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각호와</w:t>
            </w:r>
            <w:r w:rsidR="00305D0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같아야 한다.</w:t>
            </w:r>
          </w:p>
          <w:p w:rsidR="00A06E27" w:rsidRDefault="00A06E27" w:rsidP="000F6861">
            <w:pPr>
              <w:adjustRightInd w:val="0"/>
              <w:snapToGrid w:val="0"/>
              <w:spacing w:line="400" w:lineRule="atLeast"/>
              <w:ind w:left="840" w:hangingChars="300" w:hanging="84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06E27" w:rsidRDefault="00A06E27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D4243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살인자가 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살해한 </w:t>
            </w:r>
            <w:r w:rsidR="00D4243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희생자에게 제공하였던 서비스나 기타 경제적 혜택에 권리가 있는 </w:t>
            </w:r>
            <w:r w:rsidR="004F7A4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이득을 </w:t>
            </w:r>
            <w:r w:rsidR="00D42439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살인자는 박탈당하지 않는다.</w:t>
            </w:r>
          </w:p>
          <w:p w:rsidR="00AB5BDE" w:rsidRDefault="00AB5BDE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42439" w:rsidRDefault="00D4243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1E30D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살인자의 </w:t>
            </w:r>
            <w:r w:rsidR="004C2DE2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이득</w:t>
            </w:r>
            <w:r w:rsidR="001A79B1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1E30D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살인자의 희생자의 죽음의 결과로 더 확실하거나 더 </w:t>
            </w:r>
            <w:proofErr w:type="spellStart"/>
            <w:r w:rsidR="001E30D4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가치있</w:t>
            </w:r>
            <w:r w:rsidR="00B0299B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</w:t>
            </w:r>
            <w:proofErr w:type="spellEnd"/>
            <w:r w:rsidR="00B0299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것으로</w:t>
            </w:r>
            <w:r w:rsidR="001E30D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D559C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되지</w:t>
            </w:r>
            <w:r w:rsidR="00B0299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E30D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않는다. </w:t>
            </w:r>
          </w:p>
          <w:p w:rsidR="001E30D4" w:rsidRDefault="001E30D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94351E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제7조에 의거해 살인자의 희생자의 유언에 따라 발생하는 재산의 어떠한 이익에도 권리가 없는 살인자는</w:t>
            </w:r>
            <w:r w:rsidR="00044B3E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94351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94351E" w:rsidRDefault="0094351E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(a)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5F6A8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1949 </w:t>
            </w:r>
            <w:r w:rsidR="00535B67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법률개혁(</w:t>
            </w:r>
            <w:proofErr w:type="spellStart"/>
            <w:r w:rsidR="005F6A8F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유언에의한</w:t>
            </w:r>
            <w:proofErr w:type="spellEnd"/>
            <w:r w:rsidR="005F6A8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약속)법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5F6A8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따라 희생자의 </w:t>
            </w:r>
            <w:r w:rsidR="00CC6B81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상속재산</w:t>
            </w:r>
            <w:r w:rsidR="005F6A8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대하여 </w:t>
            </w:r>
            <w:r w:rsidR="00535B6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신청할 수 있다. </w:t>
            </w: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25F3" w:rsidRDefault="00AC25F3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(b)</w:t>
            </w:r>
            <w:r w:rsidR="006E0F9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그 신청의 목적을 위하여 희생자가 살인자에게 </w:t>
            </w:r>
            <w:r w:rsidR="00581C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유언으로 </w:t>
            </w:r>
            <w:r w:rsidR="006E0F9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증여를 하는 것을 실패하였던 것처럼 취급되어야 한다. </w:t>
            </w: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E598C" w:rsidRDefault="009E598C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2900B2">
              <w:rPr>
                <w:rFonts w:ascii="한컴바탕" w:eastAsia="한컴바탕" w:hAnsi="한컴바탕" w:cs="한컴바탕" w:hint="eastAsia"/>
                <w:sz w:val="28"/>
                <w:szCs w:val="28"/>
              </w:rPr>
              <w:t>1949 법률개혁(유언에 의한 약속)법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D146D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따라 살인자의 희생자의 유산에 대하여 유효한 청구를 하는 살인자는 제(5)항에 따라 산정된 혜택에 대한 청구에 대하여만 권리가 있다. </w:t>
            </w: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146D7" w:rsidRDefault="00D146D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(5) </w:t>
            </w:r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제(4)항에 언급된 혜택은 살인자의 </w:t>
            </w:r>
            <w:r w:rsidR="005515B2">
              <w:rPr>
                <w:rFonts w:ascii="한컴바탕" w:eastAsia="한컴바탕" w:hAnsi="한컴바탕" w:cs="한컴바탕" w:hint="eastAsia"/>
                <w:sz w:val="28"/>
                <w:szCs w:val="28"/>
              </w:rPr>
              <w:t>혜택이</w:t>
            </w:r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살인자의 희생자가 살해되기 전에 합리적으로 기대되는 </w:t>
            </w:r>
            <w:proofErr w:type="spellStart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>기간동안</w:t>
            </w:r>
            <w:proofErr w:type="spellEnd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계속 살았었다면 살인자가 권리를 </w:t>
            </w:r>
            <w:r w:rsidR="008311BF">
              <w:rPr>
                <w:rFonts w:ascii="한컴바탕" w:eastAsia="한컴바탕" w:hAnsi="한컴바탕" w:cs="한컴바탕" w:hint="eastAsia"/>
                <w:sz w:val="28"/>
                <w:szCs w:val="28"/>
              </w:rPr>
              <w:t>얻었을</w:t>
            </w:r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것보다 더욱 확실하거나 더 </w:t>
            </w:r>
            <w:proofErr w:type="spellStart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가치있지</w:t>
            </w:r>
            <w:proofErr w:type="spellEnd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않도록 </w:t>
            </w:r>
            <w:proofErr w:type="spellStart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보장하기위하여</w:t>
            </w:r>
            <w:proofErr w:type="spellEnd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산정되어야만한다</w:t>
            </w:r>
            <w:proofErr w:type="spellEnd"/>
            <w:r w:rsidR="00DF3C2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F3C26" w:rsidRPr="00254B95" w:rsidRDefault="00B228C3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="00DF3C26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11조 </w:t>
            </w:r>
            <w:r w:rsidR="000062A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일반적 </w:t>
            </w:r>
            <w:r w:rsidR="009D477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혜택을</w:t>
            </w:r>
            <w:r w:rsidR="000062A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0062A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강화하기위한</w:t>
            </w:r>
            <w:proofErr w:type="spellEnd"/>
            <w:r w:rsidR="000062A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살인자의 자격박탈</w:t>
            </w:r>
          </w:p>
          <w:p w:rsidR="003B15A4" w:rsidRDefault="003B15A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(1)</w:t>
            </w:r>
            <w:r w:rsidR="00841C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동</w:t>
            </w:r>
            <w:r w:rsidR="00CF4BF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41C75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조항은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05A58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각호의</w:t>
            </w:r>
            <w:r w:rsidR="00841C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경</w:t>
            </w:r>
            <w:r w:rsidR="003D3248">
              <w:rPr>
                <w:rFonts w:ascii="한컴바탕" w:eastAsia="한컴바탕" w:hAnsi="한컴바탕" w:cs="한컴바탕" w:hint="eastAsia"/>
                <w:sz w:val="28"/>
                <w:szCs w:val="28"/>
              </w:rPr>
              <w:t>우</w:t>
            </w:r>
            <w:r w:rsidR="00841C7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희생자의 재산에 대하여만 적용된다. </w:t>
            </w:r>
            <w:r w:rsidR="00AD643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960E1D" w:rsidRDefault="00960E1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3D3248">
              <w:rPr>
                <w:rFonts w:ascii="한컴바탕" w:eastAsia="한컴바탕" w:hAnsi="한컴바탕" w:cs="한컴바탕" w:hint="eastAsia"/>
                <w:sz w:val="28"/>
                <w:szCs w:val="28"/>
              </w:rPr>
              <w:t>희생자의 유산에 속하지 않는 경우</w:t>
            </w:r>
          </w:p>
          <w:p w:rsidR="003D3248" w:rsidRDefault="003D3248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D10C1F">
              <w:rPr>
                <w:rFonts w:ascii="한컴바탕" w:eastAsia="한컴바탕" w:hAnsi="한컴바탕" w:cs="한컴바탕" w:hint="eastAsia"/>
                <w:sz w:val="28"/>
                <w:szCs w:val="28"/>
              </w:rPr>
              <w:t>희생자의 자동상속재산이 아닌 경우.</w:t>
            </w:r>
          </w:p>
          <w:p w:rsidR="00E92267" w:rsidRDefault="00E9226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CE2B6A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 조가 적용되는 재산</w:t>
            </w:r>
            <w:r w:rsidR="0033112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살인자의 희생자의 죽음에 의해 영향을 받는 재산에 대한 이익이나 </w:t>
            </w:r>
            <w:r w:rsidR="00ED2251">
              <w:rPr>
                <w:rFonts w:ascii="한컴바탕" w:eastAsia="한컴바탕" w:hAnsi="한컴바탕" w:cs="한컴바탕" w:hint="eastAsia"/>
                <w:sz w:val="28"/>
                <w:szCs w:val="28"/>
              </w:rPr>
              <w:t>청구에</w:t>
            </w:r>
            <w:r w:rsidR="0033112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살인자는</w:t>
            </w:r>
            <w:r w:rsidR="004B0D7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희생자의 죽음의 결과로 살인자가 권리가 있었을 것보다</w:t>
            </w:r>
            <w:r w:rsidR="0033112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B0D7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더 확실한 또는 더 가치가 있는 재산에 대한 이익에 권리가 없다. </w:t>
            </w:r>
          </w:p>
          <w:p w:rsidR="00D142EE" w:rsidRDefault="00D142E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142EE" w:rsidRDefault="00D142E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142EE" w:rsidRDefault="00D142E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F2674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제(2)항에 제한되지 않고, </w:t>
            </w:r>
            <w:r w:rsidR="00DB04EE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살인자는 </w:t>
            </w:r>
            <w:r w:rsidR="00D158D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다음 각호의 </w:t>
            </w:r>
            <w:r w:rsidR="00DB04E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경우 살인자의 희생자의 죽음으로 인하여 동 조가 적용되는 모든 재산에 관한 </w:t>
            </w:r>
            <w:r w:rsidR="00ED0497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이득</w:t>
            </w:r>
            <w:r w:rsidR="00DB04EE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대한 권한이 없다.</w:t>
            </w:r>
          </w:p>
          <w:p w:rsidR="00DB04EE" w:rsidRDefault="00DB04EE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05772F">
              <w:rPr>
                <w:rFonts w:ascii="한컴바탕" w:eastAsia="한컴바탕" w:hAnsi="한컴바탕" w:cs="한컴바탕" w:hint="eastAsia"/>
                <w:sz w:val="28"/>
                <w:szCs w:val="28"/>
              </w:rPr>
              <w:t>희생자의 출생을 막는 살인, 또는</w:t>
            </w:r>
          </w:p>
          <w:p w:rsidR="0005772F" w:rsidRDefault="0005772F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C173F6">
              <w:rPr>
                <w:rFonts w:ascii="한컴바탕" w:eastAsia="한컴바탕" w:hAnsi="한컴바탕" w:cs="한컴바탕" w:hint="eastAsia"/>
                <w:sz w:val="28"/>
                <w:szCs w:val="28"/>
              </w:rPr>
              <w:t>살인자와 희생자가 사망했다고 합리적으로 기대될 수 있는 명령을 변경하는 살인, 또는</w:t>
            </w:r>
          </w:p>
          <w:p w:rsidR="00C173F6" w:rsidRDefault="00C173F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173F6" w:rsidRDefault="00C173F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(c)</w:t>
            </w:r>
            <w:r w:rsidR="009D128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희생자가 특정 연령에 도달하거나 기타 다른 조건을 충족하는 것을 막는 살인, 또는</w:t>
            </w:r>
          </w:p>
          <w:p w:rsidR="009D1282" w:rsidRDefault="009D1282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D1282" w:rsidRDefault="009D1282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F37CB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희생자가 포함된 </w:t>
            </w:r>
            <w:r w:rsidR="00CA7B08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수혜계층</w:t>
            </w:r>
            <w:r w:rsidR="00F37C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회원</w:t>
            </w:r>
            <w:r w:rsidR="00D6103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제를</w:t>
            </w:r>
            <w:r w:rsidR="00F37CB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85B2E">
              <w:rPr>
                <w:rFonts w:ascii="한컴바탕" w:eastAsia="한컴바탕" w:hAnsi="한컴바탕" w:cs="한컴바탕" w:hint="eastAsia"/>
                <w:sz w:val="28"/>
                <w:szCs w:val="28"/>
              </w:rPr>
              <w:t>감소시키</w:t>
            </w:r>
            <w:r w:rsidR="00C9462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는 또는 </w:t>
            </w:r>
            <w:proofErr w:type="spellStart"/>
            <w:r w:rsidR="00C94623">
              <w:rPr>
                <w:rFonts w:ascii="한컴바탕" w:eastAsia="한컴바탕" w:hAnsi="한컴바탕" w:cs="한컴바탕" w:hint="eastAsia"/>
                <w:sz w:val="28"/>
                <w:szCs w:val="28"/>
              </w:rPr>
              <w:t>막게되는</w:t>
            </w:r>
            <w:proofErr w:type="spellEnd"/>
            <w:r w:rsidR="00F37CB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살인,</w:t>
            </w:r>
          </w:p>
          <w:p w:rsidR="00F37CB0" w:rsidRPr="003B15A4" w:rsidRDefault="00F37CB0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D0665" w:rsidRDefault="00F37CB0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(e) </w:t>
            </w:r>
            <w:r w:rsidR="00E8496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희생자가 살인자가 </w:t>
            </w:r>
            <w:r w:rsidR="0000743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잔여분에 대한 </w:t>
            </w:r>
            <w:r w:rsidR="00E84960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이익을 갖는 재산에 이익을</w:t>
            </w:r>
            <w:r w:rsidR="00320DD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84960">
              <w:rPr>
                <w:rFonts w:ascii="한컴바탕" w:eastAsia="한컴바탕" w:hAnsi="한컴바탕" w:cs="한컴바탕" w:hint="eastAsia"/>
                <w:sz w:val="28"/>
                <w:szCs w:val="28"/>
              </w:rPr>
              <w:t>향유할 것이라 합리적으로 기대할</w:t>
            </w:r>
            <w:r w:rsidR="008311B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84960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 있는 기간을 단축시키는 살인</w:t>
            </w:r>
            <w:r w:rsidR="00320DDC">
              <w:rPr>
                <w:rFonts w:ascii="한컴바탕" w:eastAsia="한컴바탕" w:hAnsi="한컴바탕" w:cs="한컴바탕" w:hint="eastAsia"/>
                <w:sz w:val="28"/>
                <w:szCs w:val="28"/>
              </w:rPr>
              <w:t>.</w:t>
            </w:r>
          </w:p>
          <w:p w:rsidR="00320DDC" w:rsidRDefault="00320DDC" w:rsidP="00E84960">
            <w:pPr>
              <w:adjustRightInd w:val="0"/>
              <w:snapToGrid w:val="0"/>
              <w:spacing w:line="400" w:lineRule="atLeast"/>
              <w:ind w:left="1400" w:hangingChars="500" w:hanging="14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20DDC" w:rsidRDefault="00320DDC" w:rsidP="00E84960">
            <w:pPr>
              <w:adjustRightInd w:val="0"/>
              <w:snapToGrid w:val="0"/>
              <w:spacing w:line="400" w:lineRule="atLeast"/>
              <w:ind w:left="1400" w:hangingChars="500" w:hanging="14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E84960">
            <w:pPr>
              <w:adjustRightInd w:val="0"/>
              <w:snapToGrid w:val="0"/>
              <w:spacing w:line="400" w:lineRule="atLeast"/>
              <w:ind w:left="1400" w:hangingChars="500" w:hanging="14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20DDC" w:rsidRPr="00254B95" w:rsidRDefault="00320DDC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제12조 </w:t>
            </w:r>
            <w:r w:rsidR="009E74D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⌜</w:t>
            </w:r>
            <w:r w:rsidR="006E35D6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1976재산(관계)법</w:t>
            </w:r>
            <w:r w:rsidR="009E74D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⌟</w:t>
            </w:r>
            <w:r w:rsidR="006E35D6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제88조제(2)항에 따른 희생자의 </w:t>
            </w:r>
            <w:r w:rsidR="00A6521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상속재산</w:t>
            </w:r>
            <w:r w:rsidR="006E35D6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에 대한 </w:t>
            </w:r>
            <w:r w:rsidR="00850D90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적용</w:t>
            </w:r>
          </w:p>
          <w:p w:rsidR="000779E6" w:rsidRDefault="009E74D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>1976 재산(관계)법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제88조제(2)항을 적용할 때, </w:t>
            </w:r>
            <w:r w:rsidR="00AB7F1F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</w:t>
            </w:r>
            <w:r w:rsidR="009F5D11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거</w:t>
            </w:r>
            <w:r w:rsidR="009F5D11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부로</w:t>
            </w:r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살인자가 재산의 이익에 대하여 더 확실하거나 더 </w:t>
            </w:r>
            <w:proofErr w:type="spellStart"/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가치있는</w:t>
            </w:r>
            <w:proofErr w:type="spellEnd"/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이익</w:t>
            </w:r>
            <w:r w:rsidR="009F5D1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을 보유하게 </w:t>
            </w:r>
            <w:r w:rsidR="00690D0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</w:t>
            </w:r>
            <w:r w:rsidR="009F5D11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다면</w:t>
            </w:r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심각한 불평을 야기시키기 때문에 법원은 그 조항에 따라 </w:t>
            </w:r>
            <w:r w:rsidR="00AB7F1F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</w:t>
            </w:r>
            <w:r w:rsidR="00CD7E99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거부</w:t>
            </w:r>
            <w:r w:rsidR="0007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로 다루어야 한다. </w:t>
            </w:r>
            <w:bookmarkStart w:id="0" w:name="_GoBack"/>
            <w:bookmarkEnd w:id="0"/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7115E" w:rsidRDefault="0077115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4511" w:rsidRPr="00254B95" w:rsidRDefault="00344511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제13조 </w:t>
            </w:r>
            <w:r w:rsidR="0074401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토지</w:t>
            </w:r>
            <w:r w:rsidR="00AD3832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처리</w:t>
            </w:r>
            <w:r w:rsidR="0074401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에 대한 정</w:t>
            </w:r>
            <w:r w:rsidR="00AD3832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지</w:t>
            </w:r>
            <w:r w:rsidR="0074401F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신청</w:t>
            </w: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2966" w:rsidRDefault="0014057A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0802C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이해관계자가 분배되지 않은</w:t>
            </w:r>
            <w:r w:rsidR="008311B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2266F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상속재산</w:t>
            </w:r>
            <w:r w:rsidR="00A652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이나</w:t>
            </w:r>
            <w:r w:rsidR="000802C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토지 이익의 소유자에게 희생자와 공동재산권자임을 주장한다면, 이해관계자는 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0802CC">
              <w:rPr>
                <w:rFonts w:ascii="한컴바탕" w:eastAsia="한컴바탕" w:hAnsi="한컴바탕" w:cs="한컴바탕" w:hint="eastAsia"/>
                <w:sz w:val="28"/>
                <w:szCs w:val="28"/>
              </w:rPr>
              <w:t>1952토지양도법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0802C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제137조에 따라 그 유산이나 이익에 대하여 정지신청을 제기할 수 있다. </w:t>
            </w:r>
          </w:p>
          <w:p w:rsidR="005702D4" w:rsidRDefault="005702D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702D4" w:rsidRDefault="005702D4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BD4D3F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 조에 따른 정지신청이 효력을 발생하는 한</w:t>
            </w:r>
            <w:r w:rsidR="00543C5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731E60">
              <w:rPr>
                <w:rFonts w:ascii="한컴바탕" w:eastAsia="한컴바탕" w:hAnsi="한컴바탕" w:cs="한컴바탕" w:hint="eastAsia"/>
                <w:sz w:val="28"/>
                <w:szCs w:val="28"/>
              </w:rPr>
              <w:t>토지 등기소장은 살인자라 추정되는 자에게 생존권이양, 또는 살인자로 추정되는 자 그리고 기타 다른 공동상속자를 그 정지신청으로 영향을 받는 유산이나 이익에 대하여 등록하여서는 안</w:t>
            </w:r>
            <w:r w:rsidR="00E43B8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31E6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된다. </w:t>
            </w: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3FA1" w:rsidRDefault="000D0BCC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D575DB">
              <w:rPr>
                <w:rFonts w:ascii="한컴바탕" w:eastAsia="한컴바탕" w:hAnsi="한컴바탕" w:cs="한컴바탕" w:hint="eastAsia"/>
                <w:sz w:val="28"/>
                <w:szCs w:val="28"/>
              </w:rPr>
              <w:t>1952토지양도법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D575D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조항은, 제141조제(1)항</w:t>
            </w:r>
            <w:r w:rsidR="00CF333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575DB">
              <w:rPr>
                <w:rFonts w:ascii="한컴바탕" w:eastAsia="한컴바탕" w:hAnsi="한컴바탕" w:cs="한컴바탕" w:hint="eastAsia"/>
                <w:sz w:val="28"/>
                <w:szCs w:val="28"/>
              </w:rPr>
              <w:t>외에, 동 조에 따라 제출된 정지신청에 적</w:t>
            </w:r>
            <w:r w:rsidR="00D575DB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용된다. </w:t>
            </w: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45653" w:rsidRDefault="00E63FA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EE2752">
              <w:rPr>
                <w:rFonts w:ascii="한컴바탕" w:eastAsia="한컴바탕" w:hAnsi="한컴바탕" w:cs="한컴바탕" w:hint="eastAsia"/>
                <w:sz w:val="28"/>
                <w:szCs w:val="28"/>
              </w:rPr>
              <w:t>1952토지양도법</w:t>
            </w:r>
            <w:r w:rsidR="009E74D7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EE275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제141조제(2)항과 제(3)항은 필요한 수정을 통하여, 동 </w:t>
            </w:r>
            <w:proofErr w:type="spellStart"/>
            <w:r w:rsidR="00EE2752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조에따라</w:t>
            </w:r>
            <w:proofErr w:type="spellEnd"/>
            <w:r w:rsidR="00EE275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제출된 정지신청에 대하여 적용된다. </w:t>
            </w: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06954" w:rsidRPr="00254B95" w:rsidRDefault="00306954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제14조 </w:t>
            </w:r>
            <w:r w:rsidR="00FB5A2A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뉴질랜드에서 유죄선고의 증거효</w:t>
            </w:r>
            <w:r w:rsidR="009E74D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력</w:t>
            </w:r>
          </w:p>
          <w:p w:rsidR="0055744D" w:rsidRDefault="0055744D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B044C9">
              <w:rPr>
                <w:rFonts w:ascii="한컴바탕" w:eastAsia="한컴바탕" w:hAnsi="한컴바탕" w:cs="한컴바탕" w:hint="eastAsia"/>
                <w:sz w:val="28"/>
                <w:szCs w:val="28"/>
              </w:rPr>
              <w:t>뉴질랜드에서 다른 사람이나</w:t>
            </w:r>
            <w:r w:rsidR="00E43B8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04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아동살인의 유죄선고는, 그 유죄선고가 파기되지 않는 한, 동법의 목적상 그 사람이 </w:t>
            </w:r>
            <w:r w:rsidR="000B0E04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</w:t>
            </w:r>
            <w:r w:rsidR="00B044C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살인에 대하여 유죄라는 결정적 증거이다. </w:t>
            </w: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06C59" w:rsidRDefault="00C06C59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A80AB8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243F04">
              <w:rPr>
                <w:rFonts w:ascii="한컴바탕" w:eastAsia="한컴바탕" w:hAnsi="한컴바탕" w:cs="한컴바탕" w:hint="eastAsia"/>
                <w:sz w:val="28"/>
                <w:szCs w:val="28"/>
              </w:rPr>
              <w:t>2002형량법</w:t>
            </w:r>
            <w:r w:rsidR="00A80AB8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243F0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제146A조에 따라 불법적으로 다른 사람이나 아동을 죽였다는 범죄로 유죄라고 발급된 증명서는 </w:t>
            </w:r>
            <w:r w:rsidR="002E02F7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동법의 목적상</w:t>
            </w:r>
            <w:r w:rsidR="00243F0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다른 사람이나 아동을 죽였다는 범죄로 유죄라는 결정적 증거이다. </w:t>
            </w:r>
          </w:p>
          <w:p w:rsidR="005F2AE2" w:rsidRDefault="005F2AE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Default="00AB5BDE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F2AE2" w:rsidRDefault="005F2AE2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492756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제(2)항은 제(1)항의 대상이다.</w:t>
            </w:r>
          </w:p>
          <w:p w:rsidR="00B46C82" w:rsidRPr="00254B95" w:rsidRDefault="00112879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 xml:space="preserve">제15조 </w:t>
            </w:r>
            <w:r w:rsidR="00685483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뉴질랜드에서 무죄판결의 증거효</w:t>
            </w:r>
            <w:r w:rsidR="00A80AB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력</w:t>
            </w:r>
          </w:p>
          <w:p w:rsidR="00F552B8" w:rsidRDefault="00BB57A7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다른</w:t>
            </w:r>
            <w:r w:rsidR="00AF44B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사람이나 아동의 살인에 대하여 </w:t>
            </w:r>
            <w:r w:rsidR="007F26B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뉴질랜드에서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정신이상을 이유로</w:t>
            </w:r>
            <w:r w:rsidR="00AF44B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하는 무죄판결은 동법의 목적상 그 사람이 그 살인에 대하여 유죄가 아니라는 결정적인 증거이다.</w:t>
            </w:r>
          </w:p>
          <w:p w:rsidR="00F552B8" w:rsidRDefault="00F552B8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552B8" w:rsidRDefault="00F552B8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914A4" w:rsidRPr="00254B95" w:rsidRDefault="00F552B8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제16조 </w:t>
            </w:r>
            <w:r w:rsidR="00681C6C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뉴질랜드에서 형사기소가 없었거나 기소가 실패한 경우의 증거</w:t>
            </w:r>
          </w:p>
          <w:p w:rsidR="00D46643" w:rsidRDefault="00D46643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E17C4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동조는 </w:t>
            </w:r>
            <w:r w:rsidR="00A05DC9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각호에</w:t>
            </w:r>
            <w:r w:rsidR="00E17C4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적용된다. </w:t>
            </w:r>
          </w:p>
          <w:p w:rsidR="00867B99" w:rsidRDefault="00867B9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040D0C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동법의 적용이 문제가 되는 소송에서, 모든 당사자들</w:t>
            </w:r>
            <w:r w:rsidR="00B51FF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이나</w:t>
            </w:r>
            <w:r w:rsidR="00040D0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다른 사람이 사람이나 아동의 </w:t>
            </w:r>
            <w:r w:rsidR="00E60AC1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</w:t>
            </w:r>
            <w:r w:rsidR="00040D0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살인에서 유죄</w:t>
            </w:r>
            <w:r w:rsidR="00CC0C3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임을</w:t>
            </w:r>
            <w:r w:rsidR="00040D0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C0C3A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주장하는 경우</w:t>
            </w:r>
            <w:r w:rsidR="00040D0C">
              <w:rPr>
                <w:rFonts w:ascii="한컴바탕" w:eastAsia="한컴바탕" w:hAnsi="한컴바탕" w:cs="한컴바탕" w:hint="eastAsia"/>
                <w:sz w:val="28"/>
                <w:szCs w:val="28"/>
              </w:rPr>
              <w:t>. 그리고,</w:t>
            </w:r>
          </w:p>
          <w:p w:rsidR="001C2A59" w:rsidRPr="009A0057" w:rsidRDefault="001C2A59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D0C" w:rsidRDefault="00040D0C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D828E8">
              <w:rPr>
                <w:rFonts w:ascii="한컴바탕" w:eastAsia="한컴바탕" w:hAnsi="한컴바탕" w:cs="한컴바탕"/>
                <w:sz w:val="28"/>
                <w:szCs w:val="28"/>
              </w:rPr>
              <w:t>다른</w:t>
            </w:r>
            <w:r w:rsidR="00D828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사람이나 아동의 살인에 대하여 유죄라고 주장되는 사람이,</w:t>
            </w:r>
          </w:p>
          <w:p w:rsidR="00AB5BDE" w:rsidRDefault="00AB5BDE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828E8" w:rsidRDefault="00D828E8" w:rsidP="00254B95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i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) 기소되고, 유죄선고를 받거나 무죄판결을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받았는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가는 불문하고, 뉴질랜드에서 그 살인으로 기소되지 </w:t>
            </w:r>
            <w:r w:rsidR="00772EEE">
              <w:rPr>
                <w:rFonts w:ascii="한컴바탕" w:eastAsia="한컴바탕" w:hAnsi="한컴바탕" w:cs="한컴바탕" w:hint="eastAsia"/>
                <w:sz w:val="28"/>
                <w:szCs w:val="28"/>
              </w:rPr>
              <w:t>않은 경우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  <w:r w:rsidR="00FD50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</w:t>
            </w:r>
          </w:p>
          <w:p w:rsidR="00AB5BDE" w:rsidRDefault="00AB5BDE" w:rsidP="00254B95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A0DC0" w:rsidRDefault="00AA0DC0" w:rsidP="00254B95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(ii) </w:t>
            </w:r>
            <w:r w:rsidR="009B6E61">
              <w:rPr>
                <w:rFonts w:ascii="한컴바탕" w:eastAsia="한컴바탕" w:hAnsi="한컴바탕" w:cs="한컴바탕" w:hint="eastAsia"/>
                <w:sz w:val="28"/>
                <w:szCs w:val="28"/>
              </w:rPr>
              <w:t>뉴질랜드에서 그 살인에 대하여 기소되었지만 정신이상 이유</w:t>
            </w:r>
            <w:r w:rsidR="001958B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B6E6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외로 무죄판결을 </w:t>
            </w:r>
            <w:r w:rsidR="00AB411F">
              <w:rPr>
                <w:rFonts w:ascii="한컴바탕" w:eastAsia="한컴바탕" w:hAnsi="한컴바탕" w:cs="한컴바탕" w:hint="eastAsia"/>
                <w:sz w:val="28"/>
                <w:szCs w:val="28"/>
              </w:rPr>
              <w:t>받았거나</w:t>
            </w:r>
            <w:r w:rsidR="009B6E6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B131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사람이 기소되고, 유죄선고를 받거나 무죄판결을 </w:t>
            </w:r>
            <w:proofErr w:type="spellStart"/>
            <w:r w:rsidR="001B1312">
              <w:rPr>
                <w:rFonts w:ascii="한컴바탕" w:eastAsia="한컴바탕" w:hAnsi="한컴바탕" w:cs="한컴바탕" w:hint="eastAsia"/>
                <w:sz w:val="28"/>
                <w:szCs w:val="28"/>
              </w:rPr>
              <w:t>받았는</w:t>
            </w:r>
            <w:proofErr w:type="spellEnd"/>
            <w:r w:rsidR="001B131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가는 불문하고, </w:t>
            </w:r>
            <w:r w:rsidR="009B6E6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기소가 계류되었거나 </w:t>
            </w:r>
            <w:r w:rsidR="00F27539">
              <w:rPr>
                <w:rFonts w:ascii="한컴바탕" w:eastAsia="한컴바탕" w:hAnsi="한컴바탕" w:cs="한컴바탕" w:hint="eastAsia"/>
                <w:sz w:val="28"/>
                <w:szCs w:val="28"/>
              </w:rPr>
              <w:t>철회된 경우</w:t>
            </w:r>
            <w:r w:rsidR="009B6E6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9B6E61" w:rsidRPr="00A32163" w:rsidRDefault="009B6E61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B6E61" w:rsidRDefault="009B6E6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11650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만약 동 조가 적용된다면, </w:t>
            </w:r>
          </w:p>
          <w:p w:rsidR="007822DD" w:rsidRDefault="007822DD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(a) 법원심리소송이 동법의 목적을 위하여, 사람이나 아동의 살인이 발생하였는지를 그리고, 만약 그렇다면, 주장되는 살인자가 뉴질랜드에서 기소되었던 경우, 다음</w:t>
            </w:r>
            <w:r w:rsidR="00F853B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각호를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결정할 수 있다. </w:t>
            </w:r>
          </w:p>
          <w:p w:rsidR="00AB5BDE" w:rsidRDefault="00AB5BDE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B5BDE" w:rsidRPr="008357D5" w:rsidRDefault="00AB5BDE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96094" w:rsidRDefault="00E96094" w:rsidP="00254B95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i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) </w:t>
            </w:r>
            <w:r w:rsidR="00147F4E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 사람이 그 사람이나 아동의 살인에 대하여 유죄인지, 또는</w:t>
            </w:r>
          </w:p>
          <w:p w:rsidR="00AB5BDE" w:rsidRDefault="00AB5BDE" w:rsidP="00254B95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47F4E" w:rsidRDefault="00147F4E" w:rsidP="00254B95">
            <w:pPr>
              <w:spacing w:line="400" w:lineRule="atLeast"/>
              <w:ind w:leftChars="300" w:left="861" w:hanging="261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(ii) </w:t>
            </w:r>
            <w:r w:rsidR="002C73F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정신이상을 이유로 그 사람이나 아동에 대한 살인이 유죄가 아닌지,</w:t>
            </w:r>
          </w:p>
          <w:p w:rsidR="002C73F2" w:rsidRDefault="002C73F2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C73F2" w:rsidRDefault="002C73F2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C73F2" w:rsidRDefault="002C73F2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F72F9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 다른 사람이 동법의 목적상 살인에 대해 유죄라고 주장하는 사람은 그 사실관계의 </w:t>
            </w:r>
            <w:r w:rsidR="00F72F93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개연성과의 균형관계를 법원에 </w:t>
            </w:r>
            <w:r w:rsidR="00693CEC">
              <w:rPr>
                <w:rFonts w:ascii="한컴바탕" w:eastAsia="한컴바탕" w:hAnsi="한컴바탕" w:cs="한컴바탕" w:hint="eastAsia"/>
                <w:sz w:val="28"/>
                <w:szCs w:val="28"/>
              </w:rPr>
              <w:t>만족시켜야만</w:t>
            </w:r>
            <w:r w:rsidR="00F72F9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한다. </w:t>
            </w: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817F6" w:rsidRDefault="008817F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21585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정신이상을 이유로 동법의 목적상 살인</w:t>
            </w:r>
            <w:r w:rsidR="00A32163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대하여</w:t>
            </w:r>
            <w:r w:rsidR="0021585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유죄가 아니라고 주장하는 사람은 그 사실관계의 개연성과의 균형관계를 법원에 </w:t>
            </w:r>
            <w:r w:rsidR="007979E6">
              <w:rPr>
                <w:rFonts w:ascii="한컴바탕" w:eastAsia="한컴바탕" w:hAnsi="한컴바탕" w:cs="한컴바탕" w:hint="eastAsia"/>
                <w:sz w:val="28"/>
                <w:szCs w:val="28"/>
              </w:rPr>
              <w:t>만족시켜야만</w:t>
            </w:r>
            <w:r w:rsidR="0021585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한다. </w:t>
            </w: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53DC2" w:rsidRDefault="008D562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살인에 대하여 </w:t>
            </w:r>
            <w:r w:rsidR="005F708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뉴질랜드 외에서 </w:t>
            </w:r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어떤 </w:t>
            </w:r>
            <w:proofErr w:type="spellStart"/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사람에대한</w:t>
            </w:r>
            <w:proofErr w:type="spellEnd"/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유죄선고는, 동법의 목적상, 그 사람의 그 살인의 </w:t>
            </w:r>
            <w:proofErr w:type="spellStart"/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유무죄에</w:t>
            </w:r>
            <w:proofErr w:type="spellEnd"/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관하여 </w:t>
            </w:r>
            <w:proofErr w:type="spellStart"/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>허용가능한</w:t>
            </w:r>
            <w:proofErr w:type="spellEnd"/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증거이</w:t>
            </w:r>
            <w:r w:rsidR="00866DAD">
              <w:rPr>
                <w:rFonts w:ascii="한컴바탕" w:eastAsia="한컴바탕" w:hAnsi="한컴바탕" w:cs="한컴바탕" w:hint="eastAsia"/>
                <w:sz w:val="28"/>
                <w:szCs w:val="28"/>
              </w:rPr>
              <w:t>며</w:t>
            </w:r>
            <w:r w:rsidR="001D08C7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이는</w:t>
            </w:r>
            <w:r w:rsidR="00B14CC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법원 결정에 무게를 준다.</w:t>
            </w: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Pr="009A685B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D5696" w:rsidRDefault="00ED5696" w:rsidP="00254B9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D5626" w:rsidRPr="00D57398" w:rsidRDefault="00B53DC2" w:rsidP="00D57398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D57398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>기타 법률의 개정</w:t>
            </w:r>
            <w:r w:rsidR="00B14CC4" w:rsidRPr="00D57398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 xml:space="preserve"> </w:t>
            </w:r>
          </w:p>
          <w:p w:rsidR="00B53DC2" w:rsidRPr="00254B95" w:rsidRDefault="00B53DC2" w:rsidP="00254B9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제17조 </w:t>
            </w:r>
            <w:r w:rsidR="003E51BD" w:rsidRPr="00254B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기타 법률의 개정</w:t>
            </w:r>
          </w:p>
          <w:p w:rsidR="00605E61" w:rsidRPr="00A914A4" w:rsidRDefault="00605E61" w:rsidP="00254B9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부칙에 명시된 법률들은 부칙에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명시된대로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개정된다.</w:t>
            </w:r>
          </w:p>
          <w:p w:rsidR="005F26F7" w:rsidRPr="00F72F93" w:rsidRDefault="005F26F7" w:rsidP="00243F04">
            <w:pPr>
              <w:adjustRightInd w:val="0"/>
              <w:snapToGrid w:val="0"/>
              <w:spacing w:line="400" w:lineRule="atLeast"/>
              <w:ind w:left="1680" w:hangingChars="600" w:hanging="16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7F675D" w:rsidRPr="00BA31F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6F" w:rsidRDefault="00ED2D6F" w:rsidP="00FE7873">
      <w:pPr>
        <w:spacing w:after="0" w:line="240" w:lineRule="auto"/>
      </w:pPr>
      <w:r>
        <w:separator/>
      </w:r>
    </w:p>
  </w:endnote>
  <w:endnote w:type="continuationSeparator" w:id="0">
    <w:p w:rsidR="00ED2D6F" w:rsidRDefault="00ED2D6F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8938A1" w:rsidRPr="008548EF" w:rsidRDefault="008938A1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1F" w:rsidRPr="00AB7F1F">
          <w:rPr>
            <w:noProof/>
            <w:lang w:val="ko-KR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6F" w:rsidRDefault="00ED2D6F" w:rsidP="00FE7873">
      <w:pPr>
        <w:spacing w:after="0" w:line="240" w:lineRule="auto"/>
      </w:pPr>
      <w:r>
        <w:separator/>
      </w:r>
    </w:p>
  </w:footnote>
  <w:footnote w:type="continuationSeparator" w:id="0">
    <w:p w:rsidR="00ED2D6F" w:rsidRDefault="00ED2D6F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A1" w:rsidRDefault="008938A1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0F8C"/>
    <w:rsid w:val="000019F7"/>
    <w:rsid w:val="00003423"/>
    <w:rsid w:val="000043A8"/>
    <w:rsid w:val="000062AF"/>
    <w:rsid w:val="0000733F"/>
    <w:rsid w:val="000073C4"/>
    <w:rsid w:val="00007439"/>
    <w:rsid w:val="00007A9A"/>
    <w:rsid w:val="00011CD8"/>
    <w:rsid w:val="00012E69"/>
    <w:rsid w:val="00014EC1"/>
    <w:rsid w:val="00014FD6"/>
    <w:rsid w:val="00016564"/>
    <w:rsid w:val="00017CC3"/>
    <w:rsid w:val="0002110C"/>
    <w:rsid w:val="00021BBA"/>
    <w:rsid w:val="000238F9"/>
    <w:rsid w:val="00037152"/>
    <w:rsid w:val="00040D0C"/>
    <w:rsid w:val="00044B3E"/>
    <w:rsid w:val="00044F37"/>
    <w:rsid w:val="00045C1C"/>
    <w:rsid w:val="00045DEE"/>
    <w:rsid w:val="000466C2"/>
    <w:rsid w:val="00046D52"/>
    <w:rsid w:val="000551ED"/>
    <w:rsid w:val="0005772F"/>
    <w:rsid w:val="00060EE9"/>
    <w:rsid w:val="000613D3"/>
    <w:rsid w:val="000634DC"/>
    <w:rsid w:val="000642F4"/>
    <w:rsid w:val="000661C2"/>
    <w:rsid w:val="0006772E"/>
    <w:rsid w:val="000737EE"/>
    <w:rsid w:val="000779E6"/>
    <w:rsid w:val="000802CC"/>
    <w:rsid w:val="000808FF"/>
    <w:rsid w:val="000812A1"/>
    <w:rsid w:val="000840AC"/>
    <w:rsid w:val="00092A7E"/>
    <w:rsid w:val="0009374A"/>
    <w:rsid w:val="0009643D"/>
    <w:rsid w:val="00096513"/>
    <w:rsid w:val="000974CD"/>
    <w:rsid w:val="000A15D2"/>
    <w:rsid w:val="000A3F15"/>
    <w:rsid w:val="000B0E04"/>
    <w:rsid w:val="000B609A"/>
    <w:rsid w:val="000B690F"/>
    <w:rsid w:val="000C142E"/>
    <w:rsid w:val="000C1E6D"/>
    <w:rsid w:val="000C2556"/>
    <w:rsid w:val="000C3406"/>
    <w:rsid w:val="000C495C"/>
    <w:rsid w:val="000C6CA0"/>
    <w:rsid w:val="000D0BCC"/>
    <w:rsid w:val="000D116F"/>
    <w:rsid w:val="000D2FD5"/>
    <w:rsid w:val="000D579A"/>
    <w:rsid w:val="000D6B5E"/>
    <w:rsid w:val="000D7AD3"/>
    <w:rsid w:val="000D7F30"/>
    <w:rsid w:val="000E165D"/>
    <w:rsid w:val="000E3A98"/>
    <w:rsid w:val="000E773A"/>
    <w:rsid w:val="000F57E4"/>
    <w:rsid w:val="000F5E29"/>
    <w:rsid w:val="000F62DF"/>
    <w:rsid w:val="000F6861"/>
    <w:rsid w:val="000F7E8A"/>
    <w:rsid w:val="0010054C"/>
    <w:rsid w:val="0010074D"/>
    <w:rsid w:val="00102C21"/>
    <w:rsid w:val="00104F31"/>
    <w:rsid w:val="0010600F"/>
    <w:rsid w:val="00106E6B"/>
    <w:rsid w:val="0011194D"/>
    <w:rsid w:val="0011274C"/>
    <w:rsid w:val="00112879"/>
    <w:rsid w:val="00113BA8"/>
    <w:rsid w:val="00114BFB"/>
    <w:rsid w:val="00115F86"/>
    <w:rsid w:val="00116508"/>
    <w:rsid w:val="00127000"/>
    <w:rsid w:val="0013090C"/>
    <w:rsid w:val="00132F37"/>
    <w:rsid w:val="00133130"/>
    <w:rsid w:val="0014057A"/>
    <w:rsid w:val="001409A2"/>
    <w:rsid w:val="00141DB5"/>
    <w:rsid w:val="00143BD4"/>
    <w:rsid w:val="001444E0"/>
    <w:rsid w:val="00145E5A"/>
    <w:rsid w:val="00147F4E"/>
    <w:rsid w:val="001506ED"/>
    <w:rsid w:val="001574EB"/>
    <w:rsid w:val="0016330E"/>
    <w:rsid w:val="00166C6F"/>
    <w:rsid w:val="00174713"/>
    <w:rsid w:val="00176750"/>
    <w:rsid w:val="00177E19"/>
    <w:rsid w:val="00181791"/>
    <w:rsid w:val="00181969"/>
    <w:rsid w:val="00182285"/>
    <w:rsid w:val="00182F0F"/>
    <w:rsid w:val="00183939"/>
    <w:rsid w:val="00183AF2"/>
    <w:rsid w:val="001858E9"/>
    <w:rsid w:val="00185B2E"/>
    <w:rsid w:val="001908E4"/>
    <w:rsid w:val="001934CE"/>
    <w:rsid w:val="00194DB2"/>
    <w:rsid w:val="001958B2"/>
    <w:rsid w:val="00196EBB"/>
    <w:rsid w:val="001A0220"/>
    <w:rsid w:val="001A1A33"/>
    <w:rsid w:val="001A1AF1"/>
    <w:rsid w:val="001A1F5D"/>
    <w:rsid w:val="001A265B"/>
    <w:rsid w:val="001A3B73"/>
    <w:rsid w:val="001A4FD5"/>
    <w:rsid w:val="001A79B1"/>
    <w:rsid w:val="001B00AF"/>
    <w:rsid w:val="001B1312"/>
    <w:rsid w:val="001B5529"/>
    <w:rsid w:val="001B5BDE"/>
    <w:rsid w:val="001C2A59"/>
    <w:rsid w:val="001C5FDF"/>
    <w:rsid w:val="001C6428"/>
    <w:rsid w:val="001C72BC"/>
    <w:rsid w:val="001D08C7"/>
    <w:rsid w:val="001D0AA1"/>
    <w:rsid w:val="001D112C"/>
    <w:rsid w:val="001D19E4"/>
    <w:rsid w:val="001D1CDE"/>
    <w:rsid w:val="001D1EE3"/>
    <w:rsid w:val="001D3ED2"/>
    <w:rsid w:val="001D4FA8"/>
    <w:rsid w:val="001D655A"/>
    <w:rsid w:val="001E0AE7"/>
    <w:rsid w:val="001E1198"/>
    <w:rsid w:val="001E226A"/>
    <w:rsid w:val="001E24C9"/>
    <w:rsid w:val="001E2E3C"/>
    <w:rsid w:val="001E30D4"/>
    <w:rsid w:val="001E333D"/>
    <w:rsid w:val="001E76DF"/>
    <w:rsid w:val="001F02E9"/>
    <w:rsid w:val="001F27B5"/>
    <w:rsid w:val="001F2B0A"/>
    <w:rsid w:val="001F2DF8"/>
    <w:rsid w:val="001F4904"/>
    <w:rsid w:val="001F506F"/>
    <w:rsid w:val="001F7D7C"/>
    <w:rsid w:val="00200522"/>
    <w:rsid w:val="00202ECF"/>
    <w:rsid w:val="002031F8"/>
    <w:rsid w:val="002078D5"/>
    <w:rsid w:val="00213CF1"/>
    <w:rsid w:val="00215853"/>
    <w:rsid w:val="00215890"/>
    <w:rsid w:val="00215918"/>
    <w:rsid w:val="00223EEB"/>
    <w:rsid w:val="002243DE"/>
    <w:rsid w:val="00231CE5"/>
    <w:rsid w:val="00236C89"/>
    <w:rsid w:val="00237622"/>
    <w:rsid w:val="00243EC6"/>
    <w:rsid w:val="00243F04"/>
    <w:rsid w:val="00244D5D"/>
    <w:rsid w:val="0024632F"/>
    <w:rsid w:val="00251424"/>
    <w:rsid w:val="00253CC6"/>
    <w:rsid w:val="00254B95"/>
    <w:rsid w:val="00255276"/>
    <w:rsid w:val="00256419"/>
    <w:rsid w:val="00256CAD"/>
    <w:rsid w:val="00256EF8"/>
    <w:rsid w:val="002645C2"/>
    <w:rsid w:val="00265E46"/>
    <w:rsid w:val="002671FD"/>
    <w:rsid w:val="00274B5C"/>
    <w:rsid w:val="002764FB"/>
    <w:rsid w:val="00280D8E"/>
    <w:rsid w:val="00284087"/>
    <w:rsid w:val="00284A4F"/>
    <w:rsid w:val="00286F61"/>
    <w:rsid w:val="002900B2"/>
    <w:rsid w:val="00290711"/>
    <w:rsid w:val="00291321"/>
    <w:rsid w:val="00293A80"/>
    <w:rsid w:val="002942D3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68B1"/>
    <w:rsid w:val="002B7191"/>
    <w:rsid w:val="002C174D"/>
    <w:rsid w:val="002C3505"/>
    <w:rsid w:val="002C4FF3"/>
    <w:rsid w:val="002C5913"/>
    <w:rsid w:val="002C65C3"/>
    <w:rsid w:val="002C73F2"/>
    <w:rsid w:val="002D0BED"/>
    <w:rsid w:val="002D28C9"/>
    <w:rsid w:val="002D3C50"/>
    <w:rsid w:val="002D559C"/>
    <w:rsid w:val="002D5961"/>
    <w:rsid w:val="002E02F7"/>
    <w:rsid w:val="002E78DF"/>
    <w:rsid w:val="002F4138"/>
    <w:rsid w:val="002F587B"/>
    <w:rsid w:val="002F58B9"/>
    <w:rsid w:val="002F635F"/>
    <w:rsid w:val="002F6AF5"/>
    <w:rsid w:val="002F7A2B"/>
    <w:rsid w:val="002F7D18"/>
    <w:rsid w:val="0030030A"/>
    <w:rsid w:val="00302589"/>
    <w:rsid w:val="00305D04"/>
    <w:rsid w:val="00306954"/>
    <w:rsid w:val="00307358"/>
    <w:rsid w:val="00313BD8"/>
    <w:rsid w:val="003147ED"/>
    <w:rsid w:val="003152BF"/>
    <w:rsid w:val="00316D74"/>
    <w:rsid w:val="0031701D"/>
    <w:rsid w:val="00320DDC"/>
    <w:rsid w:val="003215E9"/>
    <w:rsid w:val="0032323F"/>
    <w:rsid w:val="00331122"/>
    <w:rsid w:val="00333D6C"/>
    <w:rsid w:val="00341C18"/>
    <w:rsid w:val="0034375F"/>
    <w:rsid w:val="00344511"/>
    <w:rsid w:val="00345E31"/>
    <w:rsid w:val="00345ED0"/>
    <w:rsid w:val="00346F6A"/>
    <w:rsid w:val="00361267"/>
    <w:rsid w:val="00361FA9"/>
    <w:rsid w:val="003654DF"/>
    <w:rsid w:val="003723B5"/>
    <w:rsid w:val="003729F2"/>
    <w:rsid w:val="00375C95"/>
    <w:rsid w:val="00376692"/>
    <w:rsid w:val="00377C1A"/>
    <w:rsid w:val="0038007A"/>
    <w:rsid w:val="00381BFB"/>
    <w:rsid w:val="00386A4D"/>
    <w:rsid w:val="00392A52"/>
    <w:rsid w:val="003945B3"/>
    <w:rsid w:val="0039741E"/>
    <w:rsid w:val="00397508"/>
    <w:rsid w:val="003A00CC"/>
    <w:rsid w:val="003A0758"/>
    <w:rsid w:val="003A07BA"/>
    <w:rsid w:val="003A5990"/>
    <w:rsid w:val="003A5D7D"/>
    <w:rsid w:val="003A6CA6"/>
    <w:rsid w:val="003A7F90"/>
    <w:rsid w:val="003B15A4"/>
    <w:rsid w:val="003B3D0E"/>
    <w:rsid w:val="003B6CF2"/>
    <w:rsid w:val="003B7399"/>
    <w:rsid w:val="003B76B2"/>
    <w:rsid w:val="003B7A47"/>
    <w:rsid w:val="003C1858"/>
    <w:rsid w:val="003C19A4"/>
    <w:rsid w:val="003C1A2B"/>
    <w:rsid w:val="003C2EEA"/>
    <w:rsid w:val="003C33FA"/>
    <w:rsid w:val="003C39C5"/>
    <w:rsid w:val="003C7616"/>
    <w:rsid w:val="003C770F"/>
    <w:rsid w:val="003C7C0D"/>
    <w:rsid w:val="003D2DDE"/>
    <w:rsid w:val="003D3248"/>
    <w:rsid w:val="003D6444"/>
    <w:rsid w:val="003D7893"/>
    <w:rsid w:val="003E2A2E"/>
    <w:rsid w:val="003E51BD"/>
    <w:rsid w:val="003E6524"/>
    <w:rsid w:val="003F12AC"/>
    <w:rsid w:val="003F5247"/>
    <w:rsid w:val="003F5E04"/>
    <w:rsid w:val="003F60E0"/>
    <w:rsid w:val="003F6A9C"/>
    <w:rsid w:val="00400638"/>
    <w:rsid w:val="004016FE"/>
    <w:rsid w:val="00404186"/>
    <w:rsid w:val="00411F71"/>
    <w:rsid w:val="00417825"/>
    <w:rsid w:val="0042187F"/>
    <w:rsid w:val="00424C4D"/>
    <w:rsid w:val="00435080"/>
    <w:rsid w:val="004356BB"/>
    <w:rsid w:val="004366FA"/>
    <w:rsid w:val="0043742F"/>
    <w:rsid w:val="00442E05"/>
    <w:rsid w:val="00442E80"/>
    <w:rsid w:val="004437D5"/>
    <w:rsid w:val="0044699E"/>
    <w:rsid w:val="00450825"/>
    <w:rsid w:val="00450915"/>
    <w:rsid w:val="004524D8"/>
    <w:rsid w:val="004525E4"/>
    <w:rsid w:val="00453B8E"/>
    <w:rsid w:val="004572E5"/>
    <w:rsid w:val="00461D8D"/>
    <w:rsid w:val="00462AAF"/>
    <w:rsid w:val="00465651"/>
    <w:rsid w:val="00465F20"/>
    <w:rsid w:val="00472951"/>
    <w:rsid w:val="00473115"/>
    <w:rsid w:val="004757B8"/>
    <w:rsid w:val="004819B0"/>
    <w:rsid w:val="00482BD5"/>
    <w:rsid w:val="004834E8"/>
    <w:rsid w:val="00485E55"/>
    <w:rsid w:val="00492756"/>
    <w:rsid w:val="00493C54"/>
    <w:rsid w:val="004A06DD"/>
    <w:rsid w:val="004A1483"/>
    <w:rsid w:val="004A19D1"/>
    <w:rsid w:val="004A1DC7"/>
    <w:rsid w:val="004A3832"/>
    <w:rsid w:val="004A44DD"/>
    <w:rsid w:val="004A4AF2"/>
    <w:rsid w:val="004B0B33"/>
    <w:rsid w:val="004B0D7F"/>
    <w:rsid w:val="004B108A"/>
    <w:rsid w:val="004B3D2C"/>
    <w:rsid w:val="004B44AB"/>
    <w:rsid w:val="004B63C1"/>
    <w:rsid w:val="004B7EA7"/>
    <w:rsid w:val="004B7F15"/>
    <w:rsid w:val="004C2970"/>
    <w:rsid w:val="004C2A7C"/>
    <w:rsid w:val="004C2B29"/>
    <w:rsid w:val="004C2DE2"/>
    <w:rsid w:val="004C5794"/>
    <w:rsid w:val="004D702F"/>
    <w:rsid w:val="004F0660"/>
    <w:rsid w:val="004F0C20"/>
    <w:rsid w:val="004F0D64"/>
    <w:rsid w:val="004F3015"/>
    <w:rsid w:val="004F3623"/>
    <w:rsid w:val="004F7A43"/>
    <w:rsid w:val="00501DEE"/>
    <w:rsid w:val="00502C36"/>
    <w:rsid w:val="00503C01"/>
    <w:rsid w:val="005044A1"/>
    <w:rsid w:val="00506D2D"/>
    <w:rsid w:val="0050789D"/>
    <w:rsid w:val="00513F59"/>
    <w:rsid w:val="005148FE"/>
    <w:rsid w:val="00517DFC"/>
    <w:rsid w:val="00521504"/>
    <w:rsid w:val="005249C1"/>
    <w:rsid w:val="00531AA4"/>
    <w:rsid w:val="005335D2"/>
    <w:rsid w:val="00533621"/>
    <w:rsid w:val="005342F4"/>
    <w:rsid w:val="00535ABA"/>
    <w:rsid w:val="00535B67"/>
    <w:rsid w:val="00535F52"/>
    <w:rsid w:val="00537E7A"/>
    <w:rsid w:val="00541F04"/>
    <w:rsid w:val="00543A6E"/>
    <w:rsid w:val="00543C56"/>
    <w:rsid w:val="00544579"/>
    <w:rsid w:val="005466DC"/>
    <w:rsid w:val="005515B2"/>
    <w:rsid w:val="00552BF5"/>
    <w:rsid w:val="00555C4D"/>
    <w:rsid w:val="00556026"/>
    <w:rsid w:val="0055744D"/>
    <w:rsid w:val="00562DB9"/>
    <w:rsid w:val="00565117"/>
    <w:rsid w:val="005674F9"/>
    <w:rsid w:val="00567535"/>
    <w:rsid w:val="005702D4"/>
    <w:rsid w:val="00574201"/>
    <w:rsid w:val="005745FE"/>
    <w:rsid w:val="00575ECA"/>
    <w:rsid w:val="005806B2"/>
    <w:rsid w:val="00581C90"/>
    <w:rsid w:val="00582742"/>
    <w:rsid w:val="00582DB3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7E8"/>
    <w:rsid w:val="005C2D38"/>
    <w:rsid w:val="005C422D"/>
    <w:rsid w:val="005C650D"/>
    <w:rsid w:val="005C6F37"/>
    <w:rsid w:val="005D1E37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26F7"/>
    <w:rsid w:val="005F2AE2"/>
    <w:rsid w:val="005F3187"/>
    <w:rsid w:val="005F586D"/>
    <w:rsid w:val="005F669B"/>
    <w:rsid w:val="005F6A8F"/>
    <w:rsid w:val="005F6F4F"/>
    <w:rsid w:val="005F7084"/>
    <w:rsid w:val="005F782A"/>
    <w:rsid w:val="006000F5"/>
    <w:rsid w:val="00600598"/>
    <w:rsid w:val="006029F6"/>
    <w:rsid w:val="00604794"/>
    <w:rsid w:val="0060488D"/>
    <w:rsid w:val="00604DB3"/>
    <w:rsid w:val="00605E61"/>
    <w:rsid w:val="006115A2"/>
    <w:rsid w:val="006119C9"/>
    <w:rsid w:val="0061277D"/>
    <w:rsid w:val="00613A47"/>
    <w:rsid w:val="00615363"/>
    <w:rsid w:val="006175F0"/>
    <w:rsid w:val="00622863"/>
    <w:rsid w:val="00623357"/>
    <w:rsid w:val="0063100F"/>
    <w:rsid w:val="00632424"/>
    <w:rsid w:val="00634A6C"/>
    <w:rsid w:val="0063656C"/>
    <w:rsid w:val="00640B7A"/>
    <w:rsid w:val="00640CD4"/>
    <w:rsid w:val="00642388"/>
    <w:rsid w:val="00644120"/>
    <w:rsid w:val="00645987"/>
    <w:rsid w:val="0064689D"/>
    <w:rsid w:val="006469CC"/>
    <w:rsid w:val="00646F10"/>
    <w:rsid w:val="00651F0F"/>
    <w:rsid w:val="00653C25"/>
    <w:rsid w:val="0065468B"/>
    <w:rsid w:val="00654CE0"/>
    <w:rsid w:val="006569CB"/>
    <w:rsid w:val="00656CAA"/>
    <w:rsid w:val="00656E3E"/>
    <w:rsid w:val="00665944"/>
    <w:rsid w:val="00666633"/>
    <w:rsid w:val="0067203A"/>
    <w:rsid w:val="0067227F"/>
    <w:rsid w:val="00674290"/>
    <w:rsid w:val="006756CC"/>
    <w:rsid w:val="00676210"/>
    <w:rsid w:val="006765B8"/>
    <w:rsid w:val="00681C6C"/>
    <w:rsid w:val="00682F9B"/>
    <w:rsid w:val="00683E64"/>
    <w:rsid w:val="00685483"/>
    <w:rsid w:val="00685DDB"/>
    <w:rsid w:val="00690334"/>
    <w:rsid w:val="00690D0B"/>
    <w:rsid w:val="0069199F"/>
    <w:rsid w:val="00691F8D"/>
    <w:rsid w:val="006921C9"/>
    <w:rsid w:val="0069288F"/>
    <w:rsid w:val="00693CEC"/>
    <w:rsid w:val="006944AA"/>
    <w:rsid w:val="00694CE5"/>
    <w:rsid w:val="0069530C"/>
    <w:rsid w:val="00696306"/>
    <w:rsid w:val="00697254"/>
    <w:rsid w:val="00697B15"/>
    <w:rsid w:val="006A02AC"/>
    <w:rsid w:val="006A0BA9"/>
    <w:rsid w:val="006A612D"/>
    <w:rsid w:val="006A6B90"/>
    <w:rsid w:val="006A7B06"/>
    <w:rsid w:val="006B4392"/>
    <w:rsid w:val="006B467C"/>
    <w:rsid w:val="006B697C"/>
    <w:rsid w:val="006C4E41"/>
    <w:rsid w:val="006C5BB8"/>
    <w:rsid w:val="006D22CD"/>
    <w:rsid w:val="006D5DC1"/>
    <w:rsid w:val="006E0F97"/>
    <w:rsid w:val="006E35D6"/>
    <w:rsid w:val="006E6270"/>
    <w:rsid w:val="006E681C"/>
    <w:rsid w:val="006E7703"/>
    <w:rsid w:val="006F027E"/>
    <w:rsid w:val="006F07EA"/>
    <w:rsid w:val="006F548C"/>
    <w:rsid w:val="006F5EA6"/>
    <w:rsid w:val="007033FF"/>
    <w:rsid w:val="00712500"/>
    <w:rsid w:val="007146AB"/>
    <w:rsid w:val="007220B0"/>
    <w:rsid w:val="00722AFB"/>
    <w:rsid w:val="0072439D"/>
    <w:rsid w:val="00724BA8"/>
    <w:rsid w:val="007263B7"/>
    <w:rsid w:val="00726EEC"/>
    <w:rsid w:val="007271E3"/>
    <w:rsid w:val="00727474"/>
    <w:rsid w:val="0072799D"/>
    <w:rsid w:val="00731E60"/>
    <w:rsid w:val="00735205"/>
    <w:rsid w:val="007427F8"/>
    <w:rsid w:val="00742A60"/>
    <w:rsid w:val="00743F0D"/>
    <w:rsid w:val="0074401F"/>
    <w:rsid w:val="00745501"/>
    <w:rsid w:val="0074569F"/>
    <w:rsid w:val="00751B78"/>
    <w:rsid w:val="00751F97"/>
    <w:rsid w:val="00752BD1"/>
    <w:rsid w:val="00756342"/>
    <w:rsid w:val="007569CF"/>
    <w:rsid w:val="00762127"/>
    <w:rsid w:val="00764639"/>
    <w:rsid w:val="00770927"/>
    <w:rsid w:val="0077115E"/>
    <w:rsid w:val="00772EEE"/>
    <w:rsid w:val="007736F2"/>
    <w:rsid w:val="00774020"/>
    <w:rsid w:val="007752EF"/>
    <w:rsid w:val="007767E2"/>
    <w:rsid w:val="00780310"/>
    <w:rsid w:val="007822DD"/>
    <w:rsid w:val="00782955"/>
    <w:rsid w:val="00784EFD"/>
    <w:rsid w:val="00791840"/>
    <w:rsid w:val="0079274F"/>
    <w:rsid w:val="007979E6"/>
    <w:rsid w:val="007A18CA"/>
    <w:rsid w:val="007A275F"/>
    <w:rsid w:val="007A358C"/>
    <w:rsid w:val="007A36DD"/>
    <w:rsid w:val="007A57F6"/>
    <w:rsid w:val="007A60D7"/>
    <w:rsid w:val="007A6118"/>
    <w:rsid w:val="007A6D4A"/>
    <w:rsid w:val="007B1965"/>
    <w:rsid w:val="007B1A7A"/>
    <w:rsid w:val="007B1E19"/>
    <w:rsid w:val="007B4286"/>
    <w:rsid w:val="007B4428"/>
    <w:rsid w:val="007B47AB"/>
    <w:rsid w:val="007B5A2F"/>
    <w:rsid w:val="007B6DEC"/>
    <w:rsid w:val="007C0878"/>
    <w:rsid w:val="007C2604"/>
    <w:rsid w:val="007C42F0"/>
    <w:rsid w:val="007C6474"/>
    <w:rsid w:val="007D0A72"/>
    <w:rsid w:val="007D190C"/>
    <w:rsid w:val="007D37D8"/>
    <w:rsid w:val="007D3DB4"/>
    <w:rsid w:val="007D5E82"/>
    <w:rsid w:val="007D705A"/>
    <w:rsid w:val="007E1C41"/>
    <w:rsid w:val="007E2966"/>
    <w:rsid w:val="007E7A18"/>
    <w:rsid w:val="007F023D"/>
    <w:rsid w:val="007F197F"/>
    <w:rsid w:val="007F2245"/>
    <w:rsid w:val="007F26B5"/>
    <w:rsid w:val="007F3A2E"/>
    <w:rsid w:val="007F675D"/>
    <w:rsid w:val="007F6B71"/>
    <w:rsid w:val="007F6CAB"/>
    <w:rsid w:val="007F7560"/>
    <w:rsid w:val="007F7E5A"/>
    <w:rsid w:val="008021A8"/>
    <w:rsid w:val="00811825"/>
    <w:rsid w:val="008149B4"/>
    <w:rsid w:val="008156CA"/>
    <w:rsid w:val="0082012C"/>
    <w:rsid w:val="00822C10"/>
    <w:rsid w:val="0082306F"/>
    <w:rsid w:val="008302F6"/>
    <w:rsid w:val="008311BF"/>
    <w:rsid w:val="0083147E"/>
    <w:rsid w:val="0083355F"/>
    <w:rsid w:val="008357D5"/>
    <w:rsid w:val="00841C75"/>
    <w:rsid w:val="0084305B"/>
    <w:rsid w:val="0084345A"/>
    <w:rsid w:val="008440E3"/>
    <w:rsid w:val="00845C7E"/>
    <w:rsid w:val="00850D90"/>
    <w:rsid w:val="00851356"/>
    <w:rsid w:val="00853B35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66DAD"/>
    <w:rsid w:val="00867B99"/>
    <w:rsid w:val="00871D10"/>
    <w:rsid w:val="00872484"/>
    <w:rsid w:val="00873EED"/>
    <w:rsid w:val="00874C2A"/>
    <w:rsid w:val="00881701"/>
    <w:rsid w:val="008817F6"/>
    <w:rsid w:val="00882542"/>
    <w:rsid w:val="00887444"/>
    <w:rsid w:val="00887731"/>
    <w:rsid w:val="008938A1"/>
    <w:rsid w:val="008A16C2"/>
    <w:rsid w:val="008A446F"/>
    <w:rsid w:val="008A5612"/>
    <w:rsid w:val="008B0C84"/>
    <w:rsid w:val="008B2457"/>
    <w:rsid w:val="008B2CD9"/>
    <w:rsid w:val="008B59B1"/>
    <w:rsid w:val="008B5B58"/>
    <w:rsid w:val="008B6746"/>
    <w:rsid w:val="008C0399"/>
    <w:rsid w:val="008C4667"/>
    <w:rsid w:val="008C4907"/>
    <w:rsid w:val="008C77B4"/>
    <w:rsid w:val="008D0D32"/>
    <w:rsid w:val="008D4B22"/>
    <w:rsid w:val="008D5626"/>
    <w:rsid w:val="008D629B"/>
    <w:rsid w:val="008D653E"/>
    <w:rsid w:val="008D738B"/>
    <w:rsid w:val="008E02CD"/>
    <w:rsid w:val="008E16A2"/>
    <w:rsid w:val="008E2728"/>
    <w:rsid w:val="008E5446"/>
    <w:rsid w:val="008E5B31"/>
    <w:rsid w:val="008E6157"/>
    <w:rsid w:val="008E70E9"/>
    <w:rsid w:val="008F1426"/>
    <w:rsid w:val="008F61B2"/>
    <w:rsid w:val="008F7ECC"/>
    <w:rsid w:val="00905E7E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3596B"/>
    <w:rsid w:val="009361FE"/>
    <w:rsid w:val="0093742D"/>
    <w:rsid w:val="00942B42"/>
    <w:rsid w:val="0094351E"/>
    <w:rsid w:val="0094442C"/>
    <w:rsid w:val="00951DB1"/>
    <w:rsid w:val="00954BA7"/>
    <w:rsid w:val="00954D92"/>
    <w:rsid w:val="009572E4"/>
    <w:rsid w:val="00960E1D"/>
    <w:rsid w:val="0096575C"/>
    <w:rsid w:val="00965946"/>
    <w:rsid w:val="00965A64"/>
    <w:rsid w:val="00971271"/>
    <w:rsid w:val="00977A24"/>
    <w:rsid w:val="009814C7"/>
    <w:rsid w:val="00990DAE"/>
    <w:rsid w:val="00994698"/>
    <w:rsid w:val="009963F4"/>
    <w:rsid w:val="009965D2"/>
    <w:rsid w:val="009A0057"/>
    <w:rsid w:val="009A24F5"/>
    <w:rsid w:val="009A4C27"/>
    <w:rsid w:val="009A5C1B"/>
    <w:rsid w:val="009A685B"/>
    <w:rsid w:val="009B1AAD"/>
    <w:rsid w:val="009B2C52"/>
    <w:rsid w:val="009B6E61"/>
    <w:rsid w:val="009B7254"/>
    <w:rsid w:val="009C2850"/>
    <w:rsid w:val="009C3A83"/>
    <w:rsid w:val="009C577E"/>
    <w:rsid w:val="009C590E"/>
    <w:rsid w:val="009C6AAC"/>
    <w:rsid w:val="009D1282"/>
    <w:rsid w:val="009D1F52"/>
    <w:rsid w:val="009D2AEA"/>
    <w:rsid w:val="009D4778"/>
    <w:rsid w:val="009E04A6"/>
    <w:rsid w:val="009E143E"/>
    <w:rsid w:val="009E34CB"/>
    <w:rsid w:val="009E4B38"/>
    <w:rsid w:val="009E598C"/>
    <w:rsid w:val="009E74D7"/>
    <w:rsid w:val="009E7D51"/>
    <w:rsid w:val="009F2A20"/>
    <w:rsid w:val="009F3F1C"/>
    <w:rsid w:val="009F46BB"/>
    <w:rsid w:val="009F470B"/>
    <w:rsid w:val="009F5D11"/>
    <w:rsid w:val="00A04A90"/>
    <w:rsid w:val="00A05DC9"/>
    <w:rsid w:val="00A06084"/>
    <w:rsid w:val="00A06D48"/>
    <w:rsid w:val="00A06E27"/>
    <w:rsid w:val="00A1058E"/>
    <w:rsid w:val="00A10A51"/>
    <w:rsid w:val="00A1717B"/>
    <w:rsid w:val="00A21AD2"/>
    <w:rsid w:val="00A22C88"/>
    <w:rsid w:val="00A22D3A"/>
    <w:rsid w:val="00A27B4B"/>
    <w:rsid w:val="00A30985"/>
    <w:rsid w:val="00A316EE"/>
    <w:rsid w:val="00A32163"/>
    <w:rsid w:val="00A35D62"/>
    <w:rsid w:val="00A3796C"/>
    <w:rsid w:val="00A40F3C"/>
    <w:rsid w:val="00A43595"/>
    <w:rsid w:val="00A4452F"/>
    <w:rsid w:val="00A46449"/>
    <w:rsid w:val="00A46AA0"/>
    <w:rsid w:val="00A51E31"/>
    <w:rsid w:val="00A51EC0"/>
    <w:rsid w:val="00A52E81"/>
    <w:rsid w:val="00A53B78"/>
    <w:rsid w:val="00A64C0A"/>
    <w:rsid w:val="00A6521C"/>
    <w:rsid w:val="00A652F1"/>
    <w:rsid w:val="00A70B56"/>
    <w:rsid w:val="00A722F0"/>
    <w:rsid w:val="00A72E67"/>
    <w:rsid w:val="00A73D6D"/>
    <w:rsid w:val="00A74B44"/>
    <w:rsid w:val="00A77A6A"/>
    <w:rsid w:val="00A80AB8"/>
    <w:rsid w:val="00A82A6A"/>
    <w:rsid w:val="00A82E77"/>
    <w:rsid w:val="00A85A27"/>
    <w:rsid w:val="00A87B93"/>
    <w:rsid w:val="00A914A4"/>
    <w:rsid w:val="00A9163C"/>
    <w:rsid w:val="00A921E6"/>
    <w:rsid w:val="00A92432"/>
    <w:rsid w:val="00AA0558"/>
    <w:rsid w:val="00AA0DC0"/>
    <w:rsid w:val="00AA3D74"/>
    <w:rsid w:val="00AA6518"/>
    <w:rsid w:val="00AA77CA"/>
    <w:rsid w:val="00AA793C"/>
    <w:rsid w:val="00AB1FFA"/>
    <w:rsid w:val="00AB2C0D"/>
    <w:rsid w:val="00AB3B53"/>
    <w:rsid w:val="00AB411F"/>
    <w:rsid w:val="00AB5787"/>
    <w:rsid w:val="00AB5BDE"/>
    <w:rsid w:val="00AB7F1F"/>
    <w:rsid w:val="00AC00EC"/>
    <w:rsid w:val="00AC25F3"/>
    <w:rsid w:val="00AC2688"/>
    <w:rsid w:val="00AC3ABE"/>
    <w:rsid w:val="00AC3CB8"/>
    <w:rsid w:val="00AC76AD"/>
    <w:rsid w:val="00AD3832"/>
    <w:rsid w:val="00AD643D"/>
    <w:rsid w:val="00AD72B5"/>
    <w:rsid w:val="00AD7B7E"/>
    <w:rsid w:val="00AD7F4A"/>
    <w:rsid w:val="00AE0CF9"/>
    <w:rsid w:val="00AE1AF7"/>
    <w:rsid w:val="00AE2BBF"/>
    <w:rsid w:val="00AE4292"/>
    <w:rsid w:val="00AE7422"/>
    <w:rsid w:val="00AF2968"/>
    <w:rsid w:val="00AF44B2"/>
    <w:rsid w:val="00B010A5"/>
    <w:rsid w:val="00B011AE"/>
    <w:rsid w:val="00B0299B"/>
    <w:rsid w:val="00B0392A"/>
    <w:rsid w:val="00B044C9"/>
    <w:rsid w:val="00B12BC7"/>
    <w:rsid w:val="00B13E88"/>
    <w:rsid w:val="00B14CC4"/>
    <w:rsid w:val="00B17857"/>
    <w:rsid w:val="00B17D84"/>
    <w:rsid w:val="00B22822"/>
    <w:rsid w:val="00B228C3"/>
    <w:rsid w:val="00B2322B"/>
    <w:rsid w:val="00B25B6E"/>
    <w:rsid w:val="00B2613D"/>
    <w:rsid w:val="00B35667"/>
    <w:rsid w:val="00B408CE"/>
    <w:rsid w:val="00B40C4F"/>
    <w:rsid w:val="00B424FD"/>
    <w:rsid w:val="00B42B74"/>
    <w:rsid w:val="00B450BB"/>
    <w:rsid w:val="00B45653"/>
    <w:rsid w:val="00B45EE3"/>
    <w:rsid w:val="00B46162"/>
    <w:rsid w:val="00B46C82"/>
    <w:rsid w:val="00B51FF5"/>
    <w:rsid w:val="00B52057"/>
    <w:rsid w:val="00B53DC2"/>
    <w:rsid w:val="00B54FAB"/>
    <w:rsid w:val="00B5706E"/>
    <w:rsid w:val="00B57F57"/>
    <w:rsid w:val="00B60B32"/>
    <w:rsid w:val="00B62407"/>
    <w:rsid w:val="00B627AC"/>
    <w:rsid w:val="00B64575"/>
    <w:rsid w:val="00B64A14"/>
    <w:rsid w:val="00B65C32"/>
    <w:rsid w:val="00B76301"/>
    <w:rsid w:val="00B76334"/>
    <w:rsid w:val="00B8258B"/>
    <w:rsid w:val="00B82DF6"/>
    <w:rsid w:val="00B83C1C"/>
    <w:rsid w:val="00B8655C"/>
    <w:rsid w:val="00B871F9"/>
    <w:rsid w:val="00B87FCA"/>
    <w:rsid w:val="00B906C9"/>
    <w:rsid w:val="00B921C6"/>
    <w:rsid w:val="00B92FAF"/>
    <w:rsid w:val="00B965CD"/>
    <w:rsid w:val="00B9660E"/>
    <w:rsid w:val="00BA0539"/>
    <w:rsid w:val="00BA1504"/>
    <w:rsid w:val="00BA15E8"/>
    <w:rsid w:val="00BA23E1"/>
    <w:rsid w:val="00BA31FB"/>
    <w:rsid w:val="00BA4883"/>
    <w:rsid w:val="00BA74AA"/>
    <w:rsid w:val="00BB0706"/>
    <w:rsid w:val="00BB5292"/>
    <w:rsid w:val="00BB57A7"/>
    <w:rsid w:val="00BC3645"/>
    <w:rsid w:val="00BC418C"/>
    <w:rsid w:val="00BC702F"/>
    <w:rsid w:val="00BD145D"/>
    <w:rsid w:val="00BD23C5"/>
    <w:rsid w:val="00BD489F"/>
    <w:rsid w:val="00BD4AA4"/>
    <w:rsid w:val="00BD4D2A"/>
    <w:rsid w:val="00BD4D3F"/>
    <w:rsid w:val="00BD7152"/>
    <w:rsid w:val="00BD7FD7"/>
    <w:rsid w:val="00BE129C"/>
    <w:rsid w:val="00BE22FF"/>
    <w:rsid w:val="00BE2F90"/>
    <w:rsid w:val="00BE3FC7"/>
    <w:rsid w:val="00BE42CC"/>
    <w:rsid w:val="00BF2D65"/>
    <w:rsid w:val="00BF4662"/>
    <w:rsid w:val="00C0052E"/>
    <w:rsid w:val="00C00618"/>
    <w:rsid w:val="00C00E7E"/>
    <w:rsid w:val="00C01F6E"/>
    <w:rsid w:val="00C040CF"/>
    <w:rsid w:val="00C06C59"/>
    <w:rsid w:val="00C07463"/>
    <w:rsid w:val="00C118D8"/>
    <w:rsid w:val="00C12CEF"/>
    <w:rsid w:val="00C14014"/>
    <w:rsid w:val="00C173F6"/>
    <w:rsid w:val="00C203FE"/>
    <w:rsid w:val="00C239B1"/>
    <w:rsid w:val="00C272AE"/>
    <w:rsid w:val="00C27621"/>
    <w:rsid w:val="00C27D9F"/>
    <w:rsid w:val="00C30039"/>
    <w:rsid w:val="00C306C7"/>
    <w:rsid w:val="00C30B81"/>
    <w:rsid w:val="00C313C6"/>
    <w:rsid w:val="00C32FDC"/>
    <w:rsid w:val="00C34B2E"/>
    <w:rsid w:val="00C34DA7"/>
    <w:rsid w:val="00C35A62"/>
    <w:rsid w:val="00C35CA2"/>
    <w:rsid w:val="00C36719"/>
    <w:rsid w:val="00C3725E"/>
    <w:rsid w:val="00C37746"/>
    <w:rsid w:val="00C40703"/>
    <w:rsid w:val="00C517A7"/>
    <w:rsid w:val="00C52B2A"/>
    <w:rsid w:val="00C55481"/>
    <w:rsid w:val="00C55CB7"/>
    <w:rsid w:val="00C570A5"/>
    <w:rsid w:val="00C60994"/>
    <w:rsid w:val="00C637E8"/>
    <w:rsid w:val="00C6423D"/>
    <w:rsid w:val="00C655EC"/>
    <w:rsid w:val="00C65ADC"/>
    <w:rsid w:val="00C661E4"/>
    <w:rsid w:val="00C72331"/>
    <w:rsid w:val="00C73522"/>
    <w:rsid w:val="00C76D73"/>
    <w:rsid w:val="00C91069"/>
    <w:rsid w:val="00C9148B"/>
    <w:rsid w:val="00C91860"/>
    <w:rsid w:val="00C924CA"/>
    <w:rsid w:val="00C94623"/>
    <w:rsid w:val="00C955DD"/>
    <w:rsid w:val="00C95A2A"/>
    <w:rsid w:val="00CA0699"/>
    <w:rsid w:val="00CA2AD9"/>
    <w:rsid w:val="00CA34D8"/>
    <w:rsid w:val="00CA35F4"/>
    <w:rsid w:val="00CA714D"/>
    <w:rsid w:val="00CA7B08"/>
    <w:rsid w:val="00CB0A09"/>
    <w:rsid w:val="00CB0D31"/>
    <w:rsid w:val="00CB16CE"/>
    <w:rsid w:val="00CB25F0"/>
    <w:rsid w:val="00CB44BC"/>
    <w:rsid w:val="00CB78E4"/>
    <w:rsid w:val="00CB79A6"/>
    <w:rsid w:val="00CC0201"/>
    <w:rsid w:val="00CC08A1"/>
    <w:rsid w:val="00CC0C3A"/>
    <w:rsid w:val="00CC6A98"/>
    <w:rsid w:val="00CC6B81"/>
    <w:rsid w:val="00CD0478"/>
    <w:rsid w:val="00CD0AD5"/>
    <w:rsid w:val="00CD0FAB"/>
    <w:rsid w:val="00CD40D1"/>
    <w:rsid w:val="00CD4DD8"/>
    <w:rsid w:val="00CD74A9"/>
    <w:rsid w:val="00CD7E99"/>
    <w:rsid w:val="00CE0DB0"/>
    <w:rsid w:val="00CE18D5"/>
    <w:rsid w:val="00CE2B6A"/>
    <w:rsid w:val="00CE5B96"/>
    <w:rsid w:val="00CE6299"/>
    <w:rsid w:val="00CE75AA"/>
    <w:rsid w:val="00CF091C"/>
    <w:rsid w:val="00CF14F9"/>
    <w:rsid w:val="00CF1F01"/>
    <w:rsid w:val="00CF206F"/>
    <w:rsid w:val="00CF3336"/>
    <w:rsid w:val="00CF3968"/>
    <w:rsid w:val="00CF4BF7"/>
    <w:rsid w:val="00CF7A47"/>
    <w:rsid w:val="00D003B8"/>
    <w:rsid w:val="00D0412F"/>
    <w:rsid w:val="00D05697"/>
    <w:rsid w:val="00D05A58"/>
    <w:rsid w:val="00D0665C"/>
    <w:rsid w:val="00D10C1F"/>
    <w:rsid w:val="00D11933"/>
    <w:rsid w:val="00D12C46"/>
    <w:rsid w:val="00D131B3"/>
    <w:rsid w:val="00D142EE"/>
    <w:rsid w:val="00D146D7"/>
    <w:rsid w:val="00D14A5B"/>
    <w:rsid w:val="00D14AF7"/>
    <w:rsid w:val="00D158DB"/>
    <w:rsid w:val="00D15923"/>
    <w:rsid w:val="00D17DB5"/>
    <w:rsid w:val="00D22FF1"/>
    <w:rsid w:val="00D26889"/>
    <w:rsid w:val="00D277DE"/>
    <w:rsid w:val="00D330AA"/>
    <w:rsid w:val="00D33E54"/>
    <w:rsid w:val="00D375BC"/>
    <w:rsid w:val="00D42439"/>
    <w:rsid w:val="00D43A62"/>
    <w:rsid w:val="00D45EC2"/>
    <w:rsid w:val="00D46643"/>
    <w:rsid w:val="00D46B29"/>
    <w:rsid w:val="00D57159"/>
    <w:rsid w:val="00D57398"/>
    <w:rsid w:val="00D575DB"/>
    <w:rsid w:val="00D6103A"/>
    <w:rsid w:val="00D6369E"/>
    <w:rsid w:val="00D66344"/>
    <w:rsid w:val="00D67D41"/>
    <w:rsid w:val="00D71787"/>
    <w:rsid w:val="00D72890"/>
    <w:rsid w:val="00D73D21"/>
    <w:rsid w:val="00D7515C"/>
    <w:rsid w:val="00D76E0F"/>
    <w:rsid w:val="00D80DA9"/>
    <w:rsid w:val="00D81ACD"/>
    <w:rsid w:val="00D821A7"/>
    <w:rsid w:val="00D828E8"/>
    <w:rsid w:val="00D84294"/>
    <w:rsid w:val="00D861A7"/>
    <w:rsid w:val="00D86888"/>
    <w:rsid w:val="00D87BA0"/>
    <w:rsid w:val="00D87FF9"/>
    <w:rsid w:val="00D915FB"/>
    <w:rsid w:val="00D94353"/>
    <w:rsid w:val="00D96C74"/>
    <w:rsid w:val="00DA03F6"/>
    <w:rsid w:val="00DA212B"/>
    <w:rsid w:val="00DA5CE1"/>
    <w:rsid w:val="00DA7A05"/>
    <w:rsid w:val="00DA7C78"/>
    <w:rsid w:val="00DB04EE"/>
    <w:rsid w:val="00DB3B90"/>
    <w:rsid w:val="00DC2570"/>
    <w:rsid w:val="00DC3963"/>
    <w:rsid w:val="00DD0665"/>
    <w:rsid w:val="00DD11EB"/>
    <w:rsid w:val="00DD166B"/>
    <w:rsid w:val="00DD234C"/>
    <w:rsid w:val="00DD5082"/>
    <w:rsid w:val="00DD55D1"/>
    <w:rsid w:val="00DD6DE1"/>
    <w:rsid w:val="00DE1728"/>
    <w:rsid w:val="00DE1769"/>
    <w:rsid w:val="00DE24D7"/>
    <w:rsid w:val="00DE42F3"/>
    <w:rsid w:val="00DE6906"/>
    <w:rsid w:val="00DE7343"/>
    <w:rsid w:val="00DF100C"/>
    <w:rsid w:val="00DF3C26"/>
    <w:rsid w:val="00DF40A9"/>
    <w:rsid w:val="00DF4A7A"/>
    <w:rsid w:val="00DF5B2F"/>
    <w:rsid w:val="00DF6134"/>
    <w:rsid w:val="00DF6455"/>
    <w:rsid w:val="00E00BC7"/>
    <w:rsid w:val="00E058E3"/>
    <w:rsid w:val="00E0634A"/>
    <w:rsid w:val="00E1265C"/>
    <w:rsid w:val="00E174C9"/>
    <w:rsid w:val="00E17C4C"/>
    <w:rsid w:val="00E2266F"/>
    <w:rsid w:val="00E23218"/>
    <w:rsid w:val="00E23777"/>
    <w:rsid w:val="00E26B6C"/>
    <w:rsid w:val="00E27CF8"/>
    <w:rsid w:val="00E42AE1"/>
    <w:rsid w:val="00E43B89"/>
    <w:rsid w:val="00E4443B"/>
    <w:rsid w:val="00E44B0B"/>
    <w:rsid w:val="00E46C3D"/>
    <w:rsid w:val="00E556B7"/>
    <w:rsid w:val="00E575E5"/>
    <w:rsid w:val="00E60AC1"/>
    <w:rsid w:val="00E61E90"/>
    <w:rsid w:val="00E62B5D"/>
    <w:rsid w:val="00E63FA1"/>
    <w:rsid w:val="00E64534"/>
    <w:rsid w:val="00E64EBE"/>
    <w:rsid w:val="00E65282"/>
    <w:rsid w:val="00E665E9"/>
    <w:rsid w:val="00E67A74"/>
    <w:rsid w:val="00E67BF0"/>
    <w:rsid w:val="00E727A5"/>
    <w:rsid w:val="00E72F0F"/>
    <w:rsid w:val="00E733AE"/>
    <w:rsid w:val="00E76633"/>
    <w:rsid w:val="00E77535"/>
    <w:rsid w:val="00E8282E"/>
    <w:rsid w:val="00E8364F"/>
    <w:rsid w:val="00E83871"/>
    <w:rsid w:val="00E84960"/>
    <w:rsid w:val="00E85C64"/>
    <w:rsid w:val="00E86488"/>
    <w:rsid w:val="00E8685A"/>
    <w:rsid w:val="00E876F5"/>
    <w:rsid w:val="00E87B2D"/>
    <w:rsid w:val="00E91C96"/>
    <w:rsid w:val="00E92267"/>
    <w:rsid w:val="00E93433"/>
    <w:rsid w:val="00E96094"/>
    <w:rsid w:val="00E96D2D"/>
    <w:rsid w:val="00E97BB5"/>
    <w:rsid w:val="00E97BBC"/>
    <w:rsid w:val="00E97FA3"/>
    <w:rsid w:val="00EA25FB"/>
    <w:rsid w:val="00EB2183"/>
    <w:rsid w:val="00EC0225"/>
    <w:rsid w:val="00EC04E5"/>
    <w:rsid w:val="00EC19C0"/>
    <w:rsid w:val="00EC5A72"/>
    <w:rsid w:val="00ED0497"/>
    <w:rsid w:val="00ED1495"/>
    <w:rsid w:val="00ED2251"/>
    <w:rsid w:val="00ED2D6F"/>
    <w:rsid w:val="00ED35CA"/>
    <w:rsid w:val="00ED5696"/>
    <w:rsid w:val="00EE0E69"/>
    <w:rsid w:val="00EE2752"/>
    <w:rsid w:val="00EE38D3"/>
    <w:rsid w:val="00EE6E3A"/>
    <w:rsid w:val="00EF5731"/>
    <w:rsid w:val="00EF6AE4"/>
    <w:rsid w:val="00EF6EA1"/>
    <w:rsid w:val="00EF78E8"/>
    <w:rsid w:val="00F0056C"/>
    <w:rsid w:val="00F05071"/>
    <w:rsid w:val="00F118CC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674B"/>
    <w:rsid w:val="00F272F8"/>
    <w:rsid w:val="00F27539"/>
    <w:rsid w:val="00F32941"/>
    <w:rsid w:val="00F33993"/>
    <w:rsid w:val="00F35BD1"/>
    <w:rsid w:val="00F374C2"/>
    <w:rsid w:val="00F37CB0"/>
    <w:rsid w:val="00F42417"/>
    <w:rsid w:val="00F43ADC"/>
    <w:rsid w:val="00F44C24"/>
    <w:rsid w:val="00F45313"/>
    <w:rsid w:val="00F5143E"/>
    <w:rsid w:val="00F552B8"/>
    <w:rsid w:val="00F56831"/>
    <w:rsid w:val="00F576C5"/>
    <w:rsid w:val="00F6492D"/>
    <w:rsid w:val="00F65DAD"/>
    <w:rsid w:val="00F7090E"/>
    <w:rsid w:val="00F7117E"/>
    <w:rsid w:val="00F72915"/>
    <w:rsid w:val="00F72F93"/>
    <w:rsid w:val="00F73C80"/>
    <w:rsid w:val="00F74312"/>
    <w:rsid w:val="00F75282"/>
    <w:rsid w:val="00F758F0"/>
    <w:rsid w:val="00F77FC4"/>
    <w:rsid w:val="00F80388"/>
    <w:rsid w:val="00F80D9F"/>
    <w:rsid w:val="00F81B3D"/>
    <w:rsid w:val="00F8299F"/>
    <w:rsid w:val="00F83CAA"/>
    <w:rsid w:val="00F84C0B"/>
    <w:rsid w:val="00F853BF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5A2A"/>
    <w:rsid w:val="00FB74E8"/>
    <w:rsid w:val="00FB77E1"/>
    <w:rsid w:val="00FD2F22"/>
    <w:rsid w:val="00FD5047"/>
    <w:rsid w:val="00FD581B"/>
    <w:rsid w:val="00FE09D3"/>
    <w:rsid w:val="00FE3EF5"/>
    <w:rsid w:val="00FE5BBE"/>
    <w:rsid w:val="00FE6771"/>
    <w:rsid w:val="00FE7873"/>
    <w:rsid w:val="00FE7DD0"/>
    <w:rsid w:val="00FF0AC7"/>
    <w:rsid w:val="00FF0B96"/>
    <w:rsid w:val="00FF28DB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">
    <w:name w:val="Placeholder Text"/>
    <w:basedOn w:val="a0"/>
    <w:uiPriority w:val="99"/>
    <w:semiHidden/>
    <w:rsid w:val="00581C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">
    <w:name w:val="Placeholder Text"/>
    <w:basedOn w:val="a0"/>
    <w:uiPriority w:val="99"/>
    <w:semiHidden/>
    <w:rsid w:val="00581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1BB1-AA72-4515-A944-299C5AB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15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345</cp:revision>
  <cp:lastPrinted>2018-06-27T06:43:00Z</cp:lastPrinted>
  <dcterms:created xsi:type="dcterms:W3CDTF">2018-06-19T04:13:00Z</dcterms:created>
  <dcterms:modified xsi:type="dcterms:W3CDTF">2018-07-03T01:10:00Z</dcterms:modified>
</cp:coreProperties>
</file>