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jc w:val="center"/>
        <w:rPr>
          <w:rFonts w:ascii="Times New Roman" w:eastAsia="굴림" w:hAnsi="Times New Roman" w:cs="Times New Roman"/>
          <w:b/>
          <w:color w:val="555555"/>
          <w:kern w:val="0"/>
          <w:sz w:val="32"/>
          <w:szCs w:val="24"/>
          <w:lang w:val="ru-RU"/>
        </w:rPr>
      </w:pPr>
      <w:bookmarkStart w:id="0" w:name="_GoBack"/>
      <w:bookmarkEnd w:id="0"/>
      <w:r w:rsidRPr="00C13A3D">
        <w:rPr>
          <w:rFonts w:ascii="Times New Roman" w:eastAsia="굴림" w:hAnsi="Times New Roman" w:cs="Times New Roman"/>
          <w:b/>
          <w:color w:val="555555"/>
          <w:kern w:val="0"/>
          <w:sz w:val="32"/>
          <w:szCs w:val="24"/>
          <w:lang w:val="ru-RU"/>
        </w:rPr>
        <w:t>ЗАКОН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jc w:val="center"/>
        <w:rPr>
          <w:rFonts w:ascii="Times New Roman" w:eastAsia="굴림" w:hAnsi="Times New Roman" w:cs="Times New Roman"/>
          <w:b/>
          <w:color w:val="555555"/>
          <w:kern w:val="0"/>
          <w:sz w:val="32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b/>
          <w:color w:val="555555"/>
          <w:kern w:val="0"/>
          <w:sz w:val="32"/>
          <w:szCs w:val="24"/>
          <w:lang w:val="ru-RU"/>
        </w:rPr>
        <w:t>ТУРКМЕНИСТАНА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jc w:val="center"/>
        <w:rPr>
          <w:rFonts w:ascii="Times New Roman" w:eastAsia="굴림" w:hAnsi="Times New Roman" w:cs="Times New Roman"/>
          <w:b/>
          <w:color w:val="555555"/>
          <w:kern w:val="0"/>
          <w:sz w:val="32"/>
          <w:szCs w:val="24"/>
          <w:lang w:val="ru-RU"/>
        </w:rPr>
      </w:pPr>
    </w:p>
    <w:p w:rsidR="00C13A3D" w:rsidRPr="00C13A3D" w:rsidRDefault="00C13A3D" w:rsidP="00C13A3D">
      <w:pPr>
        <w:widowControl/>
        <w:wordWrap/>
        <w:autoSpaceDE/>
        <w:autoSpaceDN/>
        <w:spacing w:before="150" w:after="150" w:line="600" w:lineRule="atLeast"/>
        <w:jc w:val="center"/>
        <w:outlineLvl w:val="0"/>
        <w:rPr>
          <w:rFonts w:ascii="Times New Roman" w:eastAsia="굴림" w:hAnsi="Times New Roman" w:cs="Times New Roman"/>
          <w:b/>
          <w:color w:val="000000"/>
          <w:kern w:val="36"/>
          <w:sz w:val="32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b/>
          <w:color w:val="000000"/>
          <w:kern w:val="36"/>
          <w:sz w:val="32"/>
          <w:szCs w:val="24"/>
          <w:lang w:val="ru-RU"/>
        </w:rPr>
        <w:t>О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(Ведомости Меджлиса Туркменистана 1992 г. № 9,ст. 86)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(С изменениями и дополнениями внесенным Законом Туркменистана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от 18.04.2009 г. № 32-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IV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)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Настоящий Закон в соответствии с Законом Туркменистана «О собственности в Туркменистане» регламентирует общественные отношения, возникающие в сфере научно-технической деятельности при создании и использовании объектов научной интеллектуальной собственности как одного из видов интеллектуальной собственности.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Научная интеллектуальная собственность - это собственность на результаты научно-исследовательских, проектных, изыскательских, опытно-конструкторских и опытно-технологических работ (в дальнейшем – «научные работы»).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1. Законодательство Туркменистана о научной интеллектуальной собственности</w:t>
      </w:r>
    </w:p>
    <w:p w:rsidR="00C13A3D" w:rsidRPr="00C13A3D" w:rsidRDefault="00C13A3D" w:rsidP="00C13A3D">
      <w:pPr>
        <w:widowControl/>
        <w:tabs>
          <w:tab w:val="left" w:pos="79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79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Отношения, возникающие по поводу объектов научной интеллектуальной собственности, регулируются настоящим Законом, другими законодательными актами Туркменистана, издаваемыми в соответствии с ними постановлениями Кабинета министров.</w:t>
      </w:r>
    </w:p>
    <w:p w:rsidR="00C13A3D" w:rsidRPr="00C13A3D" w:rsidRDefault="00C13A3D" w:rsidP="00C13A3D">
      <w:pPr>
        <w:widowControl/>
        <w:tabs>
          <w:tab w:val="left" w:pos="734"/>
          <w:tab w:val="left" w:pos="312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Положения настоящего Закона применяются в отношении созданных в Туркменистане предприятий, организаций, объединений, совместных предприятий с иностранными инвестициями, а также граждан Туркменистана.</w:t>
      </w:r>
    </w:p>
    <w:p w:rsidR="00C13A3D" w:rsidRPr="00C13A3D" w:rsidRDefault="00C13A3D" w:rsidP="00C13A3D">
      <w:pPr>
        <w:widowControl/>
        <w:tabs>
          <w:tab w:val="left" w:pos="734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3. Органы государственного управления Туркменистана в пределах установленной компетенции могут издавать в соответствии с настоящим Законом акты, регулирующие отношения,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возникающие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при осуществлении права научной интеллектуальной собственности.</w:t>
      </w:r>
    </w:p>
    <w:p w:rsidR="00C13A3D" w:rsidRPr="00C13A3D" w:rsidRDefault="00C13A3D" w:rsidP="00C13A3D">
      <w:pPr>
        <w:widowControl/>
        <w:tabs>
          <w:tab w:val="left" w:pos="79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>4. Если международным договором Туркменистана установлены иные правила, чем те, которые содержатся в действующем законодательстве, регулирующем отношения научной интеллектуальной собственности, то применяются правила международного договора.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2. Объекты и формы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К научной интеллектуальной собственности относятся выраженные в объективированных формах промежуточные, конечные и побочные результаты научных работ.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К результатам, имеющим промежуточный характер, относятся объекты, предусмотренные контрактом, служебным или специальным заданием, созданные или полученные в процессе научных работ, но не являющиеся их итогом.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3. К результатам, имеющим конечный характер, относятся объекты, созданные или полученные как предусмотренный контрактом, служебным или специальным заданием итог научных работ.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4. К результатам, имеющим побочный характер, относятся объекты, созданные или полученные в процессе научных работ, проводимых по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br/>
        <w:t>контракту, служебному или специальному заданию, но не предусмотренные контрактом, служебным или специальным заданием и пригодные для использования, исключительно в целях, отличающихся от тех, которые являются предметом контракта, служебного или специального задания.</w:t>
      </w:r>
    </w:p>
    <w:p w:rsidR="00C13A3D" w:rsidRPr="00C13A3D" w:rsidRDefault="00C13A3D" w:rsidP="00C13A3D">
      <w:pPr>
        <w:widowControl/>
        <w:tabs>
          <w:tab w:val="left" w:pos="749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5. Объекты научной интеллектуальной собственности могут быть представлены в любой форме, нанесены на любые носители, известные в настоящее время или которые будут созданы в будущем.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3. Право научной интеллектуальной собственности и основания для его возникновения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Право научной интеллектуальной собственности состоит в признанной и охраняемой законом возможности собственника по своему усмотрению владеть, пользоваться и распоряжаться объективированными в различной форме результатами научных работ. Никто не может использовать их без разрешения собственника.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2. В исключительных случаях Кабинетом министров может быть разрешено ограниченное использование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принадлежащей собственнику научной интеллектуальной собственности другими юридическими лицами.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3. Осуществление права научной интеллектуальной собственности должно служить гуманным целям, не нарушать права и охраняемые законом интересы государства,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>граждан, предприятий, учреждений, организаций, не причинять ущерба окружающей среде.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4. Право научной интеллектуальной собственности возникает на основе:</w:t>
      </w:r>
    </w:p>
    <w:p w:rsidR="00C13A3D" w:rsidRPr="00C13A3D" w:rsidRDefault="00C13A3D" w:rsidP="00C13A3D">
      <w:pPr>
        <w:widowControl/>
        <w:tabs>
          <w:tab w:val="left" w:pos="763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- получения и использования объективированных в различных формах промежуточных и конечных результатов научных работ, организация и проведение которых были предметом специального соглашения сторон (контракта, договора);</w:t>
      </w:r>
    </w:p>
    <w:p w:rsidR="00C13A3D" w:rsidRPr="00C13A3D" w:rsidRDefault="00C13A3D" w:rsidP="00C13A3D">
      <w:pPr>
        <w:widowControl/>
        <w:tabs>
          <w:tab w:val="left" w:pos="763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- получения в объективированных формах результатов научных работ при проведении самостоятельной научной работы отдельными гражданами или их коллективами (объединениями), в том числе при осуществлении ими предпринимательской деятельности;</w:t>
      </w:r>
    </w:p>
    <w:p w:rsidR="00C13A3D" w:rsidRPr="00C13A3D" w:rsidRDefault="00C13A3D" w:rsidP="00C13A3D">
      <w:pPr>
        <w:widowControl/>
        <w:tabs>
          <w:tab w:val="left" w:pos="763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- получения в объективированных формах побочных результатов научных работ, предусмотренных частью 4 статьи 2 настоящего Закона.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4. Субъекты права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1.Субъектами права научной интеллектуальной собственности могут быть физические и юридические лица Туркменистана и иностранных государств, международные организации.</w:t>
      </w:r>
    </w:p>
    <w:p w:rsidR="00C13A3D" w:rsidRPr="00C13A3D" w:rsidRDefault="00C13A3D" w:rsidP="00C13A3D">
      <w:pPr>
        <w:widowControl/>
        <w:tabs>
          <w:tab w:val="left" w:pos="70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Право быть собственником научной интеллектуальной собственности принадлежит разработчику (автору, создателю) объекта собственности, т. е. гражданину или коллективу, непосредственно принимавшему участие в создании объекта научной интеллектуальной собственности.</w:t>
      </w:r>
    </w:p>
    <w:p w:rsidR="00C13A3D" w:rsidRPr="00C13A3D" w:rsidRDefault="00C13A3D" w:rsidP="00C13A3D">
      <w:pPr>
        <w:widowControl/>
        <w:tabs>
          <w:tab w:val="left" w:pos="70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3. Право быть собственником научной интеллектуальной собственности принадлежит работодателю (юридическое лицо: научное учреждение, организация, предприятие, учебное заведение, государственный орган или орган управления), если создание (разработка) объекта научной интеллектуальной собственности связано с работой по контракту или специальному заданию (по планам научного учреждения, организации) и при создании (разработке) объекта научной интеллектуальной собственности использованы материалы, средства, оборудование и иные ресурсы, находящиеся в собственности (хозяйственное ведение, оперативное управление) работодателя, с которым разработчик (создатель) объекта научной интеллектуальной собственности находится в трудовых отношениях или заключил контракт.</w:t>
      </w:r>
    </w:p>
    <w:p w:rsidR="00C13A3D" w:rsidRPr="00C13A3D" w:rsidRDefault="00C13A3D" w:rsidP="00C13A3D">
      <w:pPr>
        <w:widowControl/>
        <w:tabs>
          <w:tab w:val="left" w:pos="70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4. Собственником объектов научной интеллектуальной собственности является работодатель (юридическое лицо: научное учреждение, организация, предприятие, учебное заведение, государственный орган или орган управления), если между ним и его подразделением и разработчиком заключен договор или контракт, по которому разработчик представляет работодателю все права на научную интеллектуальную собственность без каких-либо ограничений в полном объеме на весь срок ее действия. При этом уступка сопровождается обязанностями работодателя по обеспечению условий, необходимых для эффективной творческой работы разработчика, и выплате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>ему в случае создания и реализации научной интеллектуальной собственности вознаграждения.</w:t>
      </w:r>
    </w:p>
    <w:p w:rsidR="00C13A3D" w:rsidRPr="00C13A3D" w:rsidRDefault="00C13A3D" w:rsidP="00C13A3D">
      <w:pPr>
        <w:widowControl/>
        <w:tabs>
          <w:tab w:val="left" w:pos="727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5. Собственником объектов научной интеллектуальной собственности могут быть одновременно разработчик (создатель) научной интеллектуальной собственности и работодатель (научное учреждение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или иная организация), с которым разработчик состоит в трудовых отношениях и выполняет научно-исследовательские и иные работы в порядке служебного или специального задания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(по плану работ), если между ними не достигнута иная договоренность в отношении владения объектом научной интеллектуальной собственности.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В этом случае наряду с работодателем разработчик сохраняет за собой право самому использовать созданную научную интеллектуальную собственность или предоставляет лицензии третьим лицам.</w:t>
      </w:r>
    </w:p>
    <w:p w:rsidR="00C13A3D" w:rsidRPr="00C13A3D" w:rsidRDefault="00C13A3D" w:rsidP="00C13A3D">
      <w:pPr>
        <w:widowControl/>
        <w:tabs>
          <w:tab w:val="left" w:pos="727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6. Собственником объектов научной интеллектуальной собственности, возникшей в научном учреждении, организации при выполнении научно-исследовательских и опытно-конструкторских работ, является состоящий в трудовых отношениях с работодателем разработчик (создатель) объекта научной интеллектуальной собственности, которому работодатель путем внутреннего лицензионного или иного соглашения на взаимовыгодных условиях уступил свое право владения объектом научной интеллектуальной собственности.</w:t>
      </w:r>
    </w:p>
    <w:p w:rsidR="00C13A3D" w:rsidRPr="00C13A3D" w:rsidRDefault="00C13A3D" w:rsidP="00C13A3D">
      <w:pPr>
        <w:widowControl/>
        <w:tabs>
          <w:tab w:val="left" w:pos="727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7.Собственником объектов научной интеллектуальной собственности, полученных при самостоятельном инициативном проведении научных работ, являются граждане или их коллективы, осуществившие эти работы.</w:t>
      </w:r>
    </w:p>
    <w:p w:rsidR="00C13A3D" w:rsidRPr="00C13A3D" w:rsidRDefault="00C13A3D" w:rsidP="00C13A3D">
      <w:pPr>
        <w:widowControl/>
        <w:tabs>
          <w:tab w:val="left" w:pos="727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8. Право научной интеллектуальной собственности принадлежит разработчику (создателю), если создание (разработка) объекта интеллектуальной собственности не связано с работой по контракту, служебному или специальному заданию (по планам научной организации) и при создании (разработке) объекта научной интеллектуальной собственности не используются материалы, средства, оборудование и иные ресурсы, находящиеся в собственности (хозяйственном ведении, оперативном управлении) предприятия, научного учреждения, организации, учебного заведения, с которыми разработчик (создатель) объекта научной интеллектуальной собственности находится в трудовых отношениях или заключил контракт.</w:t>
      </w:r>
    </w:p>
    <w:p w:rsidR="00C13A3D" w:rsidRPr="00C13A3D" w:rsidRDefault="00C13A3D" w:rsidP="00C13A3D">
      <w:pPr>
        <w:widowControl/>
        <w:tabs>
          <w:tab w:val="left" w:pos="79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9. Собственником побочных объектов научной интеллектуальной собственности являются граждане или юридические лица, создавшие или получившие эти результаты.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Собственник побочных объектов научной интеллектуальной собственности обязан обратиться к стороне, заключившей контракт или поручившей в порядке служебного или специального задания проведение научных работ, с предложением об использовании этих объектов, которые должны стать предметом отдельного контракта. В случае отказа собственнику или недостижения соглашения собственник побочных объектов научной интеллектуальной собственности вправе использовать их самостоятельно.</w:t>
      </w:r>
    </w:p>
    <w:p w:rsidR="00C13A3D" w:rsidRPr="00C13A3D" w:rsidRDefault="00C13A3D" w:rsidP="00C13A3D">
      <w:pPr>
        <w:widowControl/>
        <w:tabs>
          <w:tab w:val="left" w:pos="0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 xml:space="preserve">10. Если неотъемлемой частью нового объекта научной интеллектуальной собственности является объект, который принадлежит иному собственнику, порядок владения, пользования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и распоряжения новым объектом научной интеллектуальной собственности определяется соглашением собственников.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5. Контракт как основание для возникновения правовой охраны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734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Право научной интеллектуальной собственности может возникать на основании контракта (соглашения) заказчика и исполнителя по поводу производства научных работ и получения определенных научных результатов.</w:t>
      </w:r>
    </w:p>
    <w:p w:rsidR="00C13A3D" w:rsidRPr="00C13A3D" w:rsidRDefault="00C13A3D" w:rsidP="00C13A3D">
      <w:pPr>
        <w:widowControl/>
        <w:tabs>
          <w:tab w:val="left" w:pos="734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2. Контракт должен определять правовой режим научной интеллектуальной собственности для промежуточных, конечных и побочных результатов этих работ, источники финансирования и материально-технического обеспечения, собственника результатов работ, случаи и условия патентования этих результатов, обеспечения конфиденциальности, создание или использование единичного объекта научной интеллектуальной собственности или их совокупности, условия уступки (передачи) права научной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интеллектуальной собственности другим лицам, ответственность за нарушения этого права, распределение доходов, полученных от использования этого права, а также другие условия, вытекающие из предмета контракта.</w:t>
      </w:r>
    </w:p>
    <w:p w:rsidR="00C13A3D" w:rsidRPr="00C13A3D" w:rsidRDefault="00C13A3D" w:rsidP="00C13A3D">
      <w:pPr>
        <w:widowControl/>
        <w:tabs>
          <w:tab w:val="left" w:pos="734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3. В случае, если собственником результатов научных работ является государственное учреждение, организация, предприятие и эти результаты пригодны для патентования, сторона, которая является исполнителем по контракту (контрагент),обязана, если иное не предусмотрено контрактом, подготовить и сделать в установленном порядке и за свой счет запрос о проведении патентной экспертизы на их патентоспособность.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6. Трудовой и коллективный договоры как основания для возникновения правовой охраны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720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Право научной интеллектуальной собственности может возникать на основании трудового договора (соглашения) при проведении научных работ в порядке служебного или специального задания (по планам работ) научного учреждения или организации.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При заключении трудового договора, в соответствии с которым осуществляются научные работы, в него следует включить требования, вытекающие из настоящего Закона и направленные на охрану права научной интеллектуальной собственности, а также предусматривать имущественную или иную ответственность для нарушителя этого права.</w:t>
      </w:r>
    </w:p>
    <w:p w:rsidR="00C13A3D" w:rsidRPr="00C13A3D" w:rsidRDefault="00C13A3D" w:rsidP="00C13A3D">
      <w:pPr>
        <w:widowControl/>
        <w:tabs>
          <w:tab w:val="left" w:pos="770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 xml:space="preserve">2. Администрация предприятия, организации, учреждения во изменение существующих условий труда, определенных трудовым договором, в котором не предусмотрены меры по охране научной интеллектуальной собственности, вправе включить в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него требования,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вытекающие из настоящего Закона и направленные на охрану научной интеллектуальной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собственности, а также предусматривающие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ответственность для нарушителя этого права.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В случае отказа разработчика от продолжения работы при указанном существенном изменении условий труда, трудовой договор с ним расторгается в установленном порядке.</w:t>
      </w:r>
    </w:p>
    <w:p w:rsidR="00C13A3D" w:rsidRPr="00C13A3D" w:rsidRDefault="00C13A3D" w:rsidP="00C13A3D">
      <w:pPr>
        <w:widowControl/>
        <w:tabs>
          <w:tab w:val="left" w:pos="770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3. Право научной интеллектуальной собственности может возникать на основании коллективного договора между научным учреждением или иной организацией-заказчиком и коллективом исполнителей, как находящихся в трудовых отношениях с заказчиком, так и не находящихся в таких отношениях.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В коллективном договоре определяется правовой режим собственности получаемых научных результатов, условия и порядок их использования, другие существенные условия организации и проведения научных работ.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7. Права разработчика (создателя) объекта научной интеллектуальной собственности</w:t>
      </w:r>
    </w:p>
    <w:p w:rsidR="00C13A3D" w:rsidRPr="00C13A3D" w:rsidRDefault="00C13A3D" w:rsidP="00C13A3D">
      <w:pPr>
        <w:widowControl/>
        <w:tabs>
          <w:tab w:val="left" w:pos="727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727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Разработчик (создатель) объекта научной интеллектуальной собственности имеет право на вознаграждение в соответствии с контрактом, трудовым или коллективным договором, которое переходит по наследству.</w:t>
      </w:r>
    </w:p>
    <w:p w:rsidR="00C13A3D" w:rsidRPr="00C13A3D" w:rsidRDefault="00C13A3D" w:rsidP="00C13A3D">
      <w:pPr>
        <w:widowControl/>
        <w:tabs>
          <w:tab w:val="left" w:pos="713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В контракте, трудовом или коллективном договоре может быть предусмотрено право разработчика (создателя) объекта научной интеллектуальной собственности на долю прибыли (дохода), полученной собственником от использования этого объекта.</w:t>
      </w:r>
    </w:p>
    <w:p w:rsidR="00C13A3D" w:rsidRPr="00C13A3D" w:rsidRDefault="00C13A3D" w:rsidP="00C13A3D">
      <w:pPr>
        <w:widowControl/>
        <w:tabs>
          <w:tab w:val="left" w:pos="713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8. Использование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Доходы, включая валютную выручку, полученные от использования в хозяйственной деятельности, в том числе предпринимательской, объектов научной интеллектуальной собственности, принадлежат собственнику за исключением доли разработчика, оговоренной контрактом, трудовым или иным соглашением.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Право научной интеллектуальной собственности на конкретные объекты может быть передано в качестве вклада в образование уставного фонда (капитала) акционерного общества, совместного предприятия, хозяйственного товарищества, иных предприятий, организаций и учреждений или их союзов.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>3. Предприятия, организации, учреждения по контракту с собственником вправе осуществлять посреднические операции по использованию или возмездной передаче своим контрагентам полученных от собственника объектов научной интеллектуальной собственности.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4. Юридические лица и граждане могут быть ограничены в праве распоряжаться объектами научной интеллектуальной собственности по соображениям государственной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безопасности или обеспечения обороны страны. Перечень таких объектов и порядок ограничения прав устанавливается Кабинетом министров Туркменистана.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5. Граждане и юридические лица, которые до регистрации объектов научной интеллектуальной собственности независимо от собственника и автора научной интеллектуальной собственности создали и использовали тождественный объект или сделали необходимые приготовления к его использованию, сохраняют право на дальнейшее безвозмездное использование без расширения его объема (т. е. «право преждепользования»).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9. Уступка (передача) права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Собственник вправе уступить (передать) свое право научной интеллектуальной собственности полностью или частично другим гражданам или юридическим лицам.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Уступка права может осуществляться собственником безвозмездно или за плату, а также на условиях взаимной выгоды, обеспечивающей соответствующую долю доходов от использования уступленного права контрагентом.</w:t>
      </w:r>
    </w:p>
    <w:p w:rsidR="00C13A3D" w:rsidRPr="00C13A3D" w:rsidRDefault="00C13A3D" w:rsidP="00C13A3D">
      <w:pPr>
        <w:widowControl/>
        <w:tabs>
          <w:tab w:val="left" w:pos="69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3.В контракте об уступке права может быть оговорено право собственника получить соответствующую долю доходов от прибыли, фактически полученной контрагентом за счет использования уступленного права, а также способ и порядок исчисления этой прибыли и доли доходов, методы учета и проверки расчетов.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4. Уступка права может иметь исключительный характер. В этом случае лицо, которому уступлено право, может в пределах этой уступли использовать переданные ему права без участия иных лиц, включая самого собственника, и, если в контракте не оговаривается иное, давать неисключительные разрешения иным лицам на использование уступленного права.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Уступка права может иметь безотзывный характер. В этом случае собственник не может отозвать разрешение (лицензию) на использование научной интеллектуальной собственности, которое он передал другому лицу.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Уступка права научной интеллектуальной собственности должна быть оформлена письменно в виде контракта, а в случаях, определенных законом, на основе разрешения, полученного в установленном порядке.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before="150" w:after="150" w:line="600" w:lineRule="atLeast"/>
        <w:outlineLvl w:val="1"/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000000"/>
          <w:kern w:val="0"/>
          <w:sz w:val="24"/>
          <w:szCs w:val="24"/>
          <w:lang w:val="ru-RU"/>
        </w:rPr>
        <w:lastRenderedPageBreak/>
        <w:t>Статья 10. Обязанность соблюдения конфиденциальности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727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1. Стороны при заключении контракта, трудового или коллективного договора на проведение научных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работ или использование их результатов могут установить взаимное обязательство сохранять в тайне и не разглашать результаты этих работ, сведения о процессах их получения, маркетинговую, финансовую, деловую и другую информацию, связанную с предметом и условиями контракта, классифицируемую как конфиденциальную (далее - «конфиденциальная информация»).</w:t>
      </w:r>
    </w:p>
    <w:p w:rsidR="00C13A3D" w:rsidRPr="00C13A3D" w:rsidRDefault="00C13A3D" w:rsidP="00C13A3D">
      <w:pPr>
        <w:widowControl/>
        <w:tabs>
          <w:tab w:val="left" w:pos="75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Разглашение конфиденциальной информации является нарушением права научной интеллектуальной собственности и влечет для нарушителя установленную законом или контрактом имущественную или иную ответственность.</w:t>
      </w:r>
    </w:p>
    <w:p w:rsidR="00C13A3D" w:rsidRPr="00C13A3D" w:rsidRDefault="00C13A3D" w:rsidP="00C13A3D">
      <w:pPr>
        <w:widowControl/>
        <w:tabs>
          <w:tab w:val="left" w:pos="75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3. Исключения из этих правил допускаются лишь в отношении информации, которая:</w:t>
      </w:r>
    </w:p>
    <w:p w:rsidR="00C13A3D" w:rsidRPr="00C13A3D" w:rsidRDefault="00C13A3D" w:rsidP="00C13A3D">
      <w:pPr>
        <w:widowControl/>
        <w:tabs>
          <w:tab w:val="left" w:pos="80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- была ранее, до заключения контракта, известна сторонам;</w:t>
      </w:r>
    </w:p>
    <w:p w:rsidR="00C13A3D" w:rsidRPr="00C13A3D" w:rsidRDefault="00C13A3D" w:rsidP="00C13A3D">
      <w:pPr>
        <w:widowControl/>
        <w:tabs>
          <w:tab w:val="left" w:pos="80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- была получена от третьей стороны без обязанности соблюдать ее конфиденциальность;</w:t>
      </w:r>
    </w:p>
    <w:p w:rsidR="00C13A3D" w:rsidRPr="00C13A3D" w:rsidRDefault="00C13A3D" w:rsidP="00C13A3D">
      <w:pPr>
        <w:widowControl/>
        <w:tabs>
          <w:tab w:val="left" w:pos="835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- в других установленных законодательством или контрактом случаях.</w:t>
      </w:r>
    </w:p>
    <w:p w:rsidR="00C13A3D" w:rsidRPr="00C13A3D" w:rsidRDefault="00C13A3D" w:rsidP="00C13A3D">
      <w:pPr>
        <w:widowControl/>
        <w:tabs>
          <w:tab w:val="left" w:pos="756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4. В случаях, предусмотренных законодательством Туркменистана или контрактом (трудовым договором, соглашением), обязанность сохранения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конфиденциальности может продолжаться и после прекращения контракта или трудовых отношений в течение одного года, если иное не предусмотрено контрактом.</w:t>
      </w:r>
    </w:p>
    <w:p w:rsidR="00C13A3D" w:rsidRPr="00C13A3D" w:rsidRDefault="00C13A3D" w:rsidP="00C13A3D">
      <w:pPr>
        <w:widowControl/>
        <w:tabs>
          <w:tab w:val="left" w:pos="82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5 .Собственник или лицо, которому уступлено (передано) право научной интеллектуальной собственности, может в установленном законом порядке требовать имущественного возмещения ущерба, причиненного ему нарушением правил сохранения конфиденциальности.</w:t>
      </w:r>
    </w:p>
    <w:p w:rsidR="00C13A3D" w:rsidRPr="00C13A3D" w:rsidRDefault="00C13A3D" w:rsidP="00C13A3D">
      <w:pPr>
        <w:widowControl/>
        <w:tabs>
          <w:tab w:val="left" w:pos="821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6.Граждане и юридические лица обязаны сохранять конфиденциальность относительно объектов научной интеллектуальной собственности, полученных ими для экспертизы или рецензирования.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11. Защита права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1.Защита права научной интеллектуальной собственности осуществляется в судебном порядке. При рассмотрении споров решаются также все вопросы возмещения собственнику в полном объеме причиненных убытков.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Прекращение деятельности, нарушающей права собственника, осуществляется в установленном законом порядке.</w:t>
      </w:r>
    </w:p>
    <w:p w:rsidR="00C13A3D" w:rsidRPr="00C13A3D" w:rsidRDefault="00C13A3D" w:rsidP="00C13A3D">
      <w:pPr>
        <w:widowControl/>
        <w:tabs>
          <w:tab w:val="left" w:pos="634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>3. Собственник может требовать устранения всяких нарушений его права научной интеллектуальной собственности даже в том случае, если нарушения и не были связаны с лишением собственника права владеть, пользоваться и распоряжаться объектом научной интеллектуальной собственности.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4. При причинении собственнику морального вреда, виновный обязан возместить его, даже если не доказан материальный ущерб. Для оценки вреда и его имущественного возмещения исследуются обстоятельства и тяжесть нарушения, степень недозволенного использования права научной интеллектуальной собственности.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12. Нарушение права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Убытки, причиненные гражданами и юридическими лицами в результате издания незаконных актов или совершения незаконных действий, нарушающих права собственника и других лиц по владению, пользованию или распоряжению объектами научной интеллектуальной собственности, подлежат возмещению в полном объеме за счет средств, находящихся в распоряжении соответствующего органа государственного управления, местного органа государственной власти, или гражданина, нанесшего такой ущерб.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13. Научная интеллектуальная собственность совместных предприятий, иностранных граждан, организаций и государств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1. Совместные предприятия с участием иностранных юридических и физических лиц, созданные на территории Туркменистана, могут владеть, пользоваться и распоряжаться объектами научной интеллектуальной собственности.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Положения настоящего Закона применяются также к находящейся на территории Туркменистана научной интеллектуальной собственности иностранных граждан и лиц без гражданства.</w:t>
      </w:r>
    </w:p>
    <w:p w:rsidR="00C13A3D" w:rsidRPr="00C13A3D" w:rsidRDefault="00C13A3D" w:rsidP="00C13A3D">
      <w:pPr>
        <w:widowControl/>
        <w:tabs>
          <w:tab w:val="left" w:pos="662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3. Иностранные государства и международные организации могут иметь на территории Туркменистана право научной интеллектуальной собственности в случаях и в порядке, установленных международными договорами и законодательными актами Туркменистана.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Часть четвертый статьи 13 признан утратившим силу Законом Туркменистана от 18.04.2009 г. № 32-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IV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. 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14. Срок действия права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tabs>
          <w:tab w:val="left" w:pos="684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lastRenderedPageBreak/>
        <w:t>1. Если контрактом, трудовым договором (соглашением) не установлено иное, срок действия права научной интеллектуальной собственности на конкретные объекты составляет 25 лет, начиная с 1 января года, следующего за годом, в котором она получена и оформлена.</w:t>
      </w:r>
    </w:p>
    <w:p w:rsidR="00C13A3D" w:rsidRPr="00C13A3D" w:rsidRDefault="00C13A3D" w:rsidP="00C13A3D">
      <w:pPr>
        <w:widowControl/>
        <w:tabs>
          <w:tab w:val="left" w:pos="684"/>
        </w:tabs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2. В случае реорганизации или ликвидации организации собственника или смерти гражданина, являющегося собственником научной интеллектуальной собственности, это право переходит их правопреемникам.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Статья 15. Регистрация и учет объектов научной интеллектуальной собственности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Орган, осуществляющий государственную регистрацию и учет объектов научной интеллектуальной собственности, проводит сбор и обработку информации о ведущихся и законченных научных работах в Туркменистане и создает общегосударственный информационный фонд научной интеллектуальной собственности.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Президент Туркменистана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                                  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 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 xml:space="preserve">С. НИЯЗОВ 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</w:t>
      </w: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  <w:lang w:val="ru-RU"/>
        </w:rPr>
        <w:t>гор. Ашгабат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 xml:space="preserve"> 30 </w:t>
      </w:r>
      <w:proofErr w:type="gramStart"/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сентября  1992</w:t>
      </w:r>
      <w:proofErr w:type="gramEnd"/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 xml:space="preserve"> г.</w:t>
      </w:r>
    </w:p>
    <w:p w:rsidR="00C13A3D" w:rsidRPr="00C13A3D" w:rsidRDefault="00C13A3D" w:rsidP="00C13A3D">
      <w:pPr>
        <w:widowControl/>
        <w:wordWrap/>
        <w:autoSpaceDE/>
        <w:autoSpaceDN/>
        <w:spacing w:after="150" w:line="300" w:lineRule="atLeast"/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</w:pPr>
      <w:r w:rsidRPr="00C13A3D">
        <w:rPr>
          <w:rFonts w:ascii="Times New Roman" w:eastAsia="굴림" w:hAnsi="Times New Roman" w:cs="Times New Roman"/>
          <w:color w:val="555555"/>
          <w:kern w:val="0"/>
          <w:sz w:val="24"/>
          <w:szCs w:val="24"/>
        </w:rPr>
        <w:t> № 755-ХII</w:t>
      </w:r>
    </w:p>
    <w:p w:rsidR="001E5285" w:rsidRPr="00C13A3D" w:rsidRDefault="00C13A3D" w:rsidP="00C13A3D">
      <w:pPr>
        <w:rPr>
          <w:rFonts w:ascii="Times New Roman" w:hAnsi="Times New Roman" w:cs="Times New Roman"/>
          <w:sz w:val="24"/>
          <w:szCs w:val="24"/>
        </w:rPr>
      </w:pPr>
    </w:p>
    <w:sectPr w:rsidR="001E5285" w:rsidRPr="00C13A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3D"/>
    <w:rsid w:val="006C3DA2"/>
    <w:rsid w:val="00765EEF"/>
    <w:rsid w:val="00C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C13A3D"/>
    <w:pPr>
      <w:widowControl/>
      <w:wordWrap/>
      <w:autoSpaceDE/>
      <w:autoSpaceDN/>
      <w:spacing w:before="150" w:after="150" w:line="600" w:lineRule="atLeast"/>
      <w:jc w:val="left"/>
      <w:outlineLvl w:val="0"/>
    </w:pPr>
    <w:rPr>
      <w:rFonts w:ascii="Calibri" w:eastAsia="굴림" w:hAnsi="Calibri" w:cs="Calibri"/>
      <w:color w:val="000000"/>
      <w:kern w:val="36"/>
      <w:sz w:val="58"/>
      <w:szCs w:val="58"/>
    </w:rPr>
  </w:style>
  <w:style w:type="paragraph" w:styleId="2">
    <w:name w:val="heading 2"/>
    <w:basedOn w:val="a"/>
    <w:link w:val="2Char"/>
    <w:uiPriority w:val="9"/>
    <w:qFormat/>
    <w:rsid w:val="00C13A3D"/>
    <w:pPr>
      <w:widowControl/>
      <w:wordWrap/>
      <w:autoSpaceDE/>
      <w:autoSpaceDN/>
      <w:spacing w:before="150" w:after="150" w:line="600" w:lineRule="atLeast"/>
      <w:jc w:val="left"/>
      <w:outlineLvl w:val="1"/>
    </w:pPr>
    <w:rPr>
      <w:rFonts w:ascii="Calibri" w:eastAsia="굴림" w:hAnsi="Calibri" w:cs="Calibri"/>
      <w:color w:val="000000"/>
      <w:kern w:val="0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13A3D"/>
    <w:rPr>
      <w:rFonts w:ascii="Calibri" w:eastAsia="굴림" w:hAnsi="Calibri" w:cs="Calibri"/>
      <w:color w:val="000000"/>
      <w:kern w:val="36"/>
      <w:sz w:val="58"/>
      <w:szCs w:val="58"/>
    </w:rPr>
  </w:style>
  <w:style w:type="character" w:customStyle="1" w:styleId="2Char">
    <w:name w:val="제목 2 Char"/>
    <w:basedOn w:val="a0"/>
    <w:link w:val="2"/>
    <w:uiPriority w:val="9"/>
    <w:rsid w:val="00C13A3D"/>
    <w:rPr>
      <w:rFonts w:ascii="Calibri" w:eastAsia="굴림" w:hAnsi="Calibri" w:cs="Calibri"/>
      <w:color w:val="000000"/>
      <w:kern w:val="0"/>
      <w:sz w:val="47"/>
      <w:szCs w:val="47"/>
    </w:rPr>
  </w:style>
  <w:style w:type="paragraph" w:customStyle="1" w:styleId="cse0167199">
    <w:name w:val="cse0167199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C13A3D"/>
  </w:style>
  <w:style w:type="paragraph" w:customStyle="1" w:styleId="cs5a7425b6">
    <w:name w:val="cs5a7425b6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3b0a1abe">
    <w:name w:val="cs3b0a1abe"/>
    <w:basedOn w:val="a0"/>
    <w:rsid w:val="00C13A3D"/>
  </w:style>
  <w:style w:type="paragraph" w:customStyle="1" w:styleId="csd37709e7">
    <w:name w:val="csd37709e7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1ce6e7e8">
    <w:name w:val="cs1ce6e7e8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3266721a">
    <w:name w:val="cs3266721a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95a8ae3d">
    <w:name w:val="cs95a8ae3d"/>
    <w:basedOn w:val="a0"/>
    <w:rsid w:val="00C1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C13A3D"/>
    <w:pPr>
      <w:widowControl/>
      <w:wordWrap/>
      <w:autoSpaceDE/>
      <w:autoSpaceDN/>
      <w:spacing w:before="150" w:after="150" w:line="600" w:lineRule="atLeast"/>
      <w:jc w:val="left"/>
      <w:outlineLvl w:val="0"/>
    </w:pPr>
    <w:rPr>
      <w:rFonts w:ascii="Calibri" w:eastAsia="굴림" w:hAnsi="Calibri" w:cs="Calibri"/>
      <w:color w:val="000000"/>
      <w:kern w:val="36"/>
      <w:sz w:val="58"/>
      <w:szCs w:val="58"/>
    </w:rPr>
  </w:style>
  <w:style w:type="paragraph" w:styleId="2">
    <w:name w:val="heading 2"/>
    <w:basedOn w:val="a"/>
    <w:link w:val="2Char"/>
    <w:uiPriority w:val="9"/>
    <w:qFormat/>
    <w:rsid w:val="00C13A3D"/>
    <w:pPr>
      <w:widowControl/>
      <w:wordWrap/>
      <w:autoSpaceDE/>
      <w:autoSpaceDN/>
      <w:spacing w:before="150" w:after="150" w:line="600" w:lineRule="atLeast"/>
      <w:jc w:val="left"/>
      <w:outlineLvl w:val="1"/>
    </w:pPr>
    <w:rPr>
      <w:rFonts w:ascii="Calibri" w:eastAsia="굴림" w:hAnsi="Calibri" w:cs="Calibri"/>
      <w:color w:val="000000"/>
      <w:kern w:val="0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13A3D"/>
    <w:rPr>
      <w:rFonts w:ascii="Calibri" w:eastAsia="굴림" w:hAnsi="Calibri" w:cs="Calibri"/>
      <w:color w:val="000000"/>
      <w:kern w:val="36"/>
      <w:sz w:val="58"/>
      <w:szCs w:val="58"/>
    </w:rPr>
  </w:style>
  <w:style w:type="character" w:customStyle="1" w:styleId="2Char">
    <w:name w:val="제목 2 Char"/>
    <w:basedOn w:val="a0"/>
    <w:link w:val="2"/>
    <w:uiPriority w:val="9"/>
    <w:rsid w:val="00C13A3D"/>
    <w:rPr>
      <w:rFonts w:ascii="Calibri" w:eastAsia="굴림" w:hAnsi="Calibri" w:cs="Calibri"/>
      <w:color w:val="000000"/>
      <w:kern w:val="0"/>
      <w:sz w:val="47"/>
      <w:szCs w:val="47"/>
    </w:rPr>
  </w:style>
  <w:style w:type="paragraph" w:customStyle="1" w:styleId="cse0167199">
    <w:name w:val="cse0167199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C13A3D"/>
  </w:style>
  <w:style w:type="paragraph" w:customStyle="1" w:styleId="cs5a7425b6">
    <w:name w:val="cs5a7425b6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3b0a1abe">
    <w:name w:val="cs3b0a1abe"/>
    <w:basedOn w:val="a0"/>
    <w:rsid w:val="00C13A3D"/>
  </w:style>
  <w:style w:type="paragraph" w:customStyle="1" w:styleId="csd37709e7">
    <w:name w:val="csd37709e7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1ce6e7e8">
    <w:name w:val="cs1ce6e7e8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3266721a">
    <w:name w:val="cs3266721a"/>
    <w:basedOn w:val="a"/>
    <w:rsid w:val="00C13A3D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95a8ae3d">
    <w:name w:val="cs95a8ae3d"/>
    <w:basedOn w:val="a0"/>
    <w:rsid w:val="00C1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3754">
      <w:bodyDiv w:val="1"/>
      <w:marLeft w:val="0"/>
      <w:marRight w:val="0"/>
      <w:marTop w:val="0"/>
      <w:marBottom w:val="0"/>
      <w:divBdr>
        <w:top w:val="single" w:sz="18" w:space="0" w:color="98B827"/>
        <w:left w:val="none" w:sz="0" w:space="0" w:color="auto"/>
        <w:bottom w:val="none" w:sz="0" w:space="0" w:color="auto"/>
        <w:right w:val="none" w:sz="0" w:space="0" w:color="auto"/>
      </w:divBdr>
      <w:divsChild>
        <w:div w:id="184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2018-06-11T05:54:00Z</dcterms:created>
  <dcterms:modified xsi:type="dcterms:W3CDTF">2018-06-11T05:56:00Z</dcterms:modified>
</cp:coreProperties>
</file>