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D5" w:rsidRPr="00782EEC" w:rsidRDefault="00782EEC" w:rsidP="00782EEC">
      <w:pPr>
        <w:bidi/>
        <w:spacing w:line="360" w:lineRule="auto"/>
        <w:jc w:val="center"/>
        <w:rPr>
          <w:b/>
          <w:bCs/>
          <w:sz w:val="32"/>
          <w:szCs w:val="32"/>
        </w:rPr>
      </w:pPr>
      <w:r w:rsidRPr="00782EEC">
        <w:rPr>
          <w:rFonts w:hint="cs"/>
          <w:b/>
          <w:bCs/>
          <w:sz w:val="32"/>
          <w:szCs w:val="32"/>
          <w:rtl/>
        </w:rPr>
        <w:t>قانون رقم (19) لسنة 2017 بتعديل بعض أحكام القانون رقم (4) لسنة 2008 بشأن إيجار العقارات</w:t>
      </w:r>
    </w:p>
    <w:p w:rsidR="00782EEC" w:rsidRPr="00782EEC" w:rsidRDefault="00782EEC" w:rsidP="00782EEC">
      <w:pPr>
        <w:bidi/>
        <w:spacing w:line="360" w:lineRule="auto"/>
        <w:rPr>
          <w:b/>
          <w:bCs/>
          <w:sz w:val="24"/>
          <w:szCs w:val="24"/>
        </w:rPr>
      </w:pPr>
    </w:p>
    <w:p w:rsidR="00782EEC" w:rsidRPr="00782EEC" w:rsidRDefault="00782EEC" w:rsidP="00782EEC">
      <w:pPr>
        <w:numPr>
          <w:ilvl w:val="0"/>
          <w:numId w:val="2"/>
        </w:numPr>
        <w:bidi/>
        <w:spacing w:line="360" w:lineRule="auto"/>
        <w:rPr>
          <w:b/>
          <w:bCs/>
          <w:sz w:val="24"/>
          <w:szCs w:val="24"/>
        </w:rPr>
      </w:pPr>
      <w:hyperlink r:id="rId5" w:history="1">
        <w:r w:rsidRPr="00782EEC">
          <w:rPr>
            <w:rStyle w:val="a3"/>
            <w:rFonts w:hint="cs"/>
            <w:b/>
            <w:bCs/>
            <w:sz w:val="24"/>
            <w:szCs w:val="24"/>
            <w:rtl/>
          </w:rPr>
          <w:t>المادة</w:t>
        </w:r>
        <w:r w:rsidRPr="00782EEC">
          <w:rPr>
            <w:rStyle w:val="a3"/>
            <w:rFonts w:hint="cs"/>
            <w:b/>
            <w:bCs/>
            <w:sz w:val="24"/>
            <w:szCs w:val="24"/>
            <w:rtl/>
            <w:lang w:bidi="ar"/>
          </w:rPr>
          <w:t xml:space="preserve"> 1 </w:t>
        </w:r>
      </w:hyperlink>
      <w:bookmarkStart w:id="0" w:name="_GoBack"/>
      <w:bookmarkEnd w:id="0"/>
    </w:p>
    <w:p w:rsidR="00782EEC" w:rsidRPr="00782EEC" w:rsidRDefault="00782EEC" w:rsidP="00782EEC">
      <w:pPr>
        <w:bidi/>
        <w:spacing w:line="360" w:lineRule="auto"/>
        <w:rPr>
          <w:rFonts w:hint="cs"/>
          <w:b/>
          <w:bCs/>
          <w:sz w:val="24"/>
          <w:szCs w:val="24"/>
          <w:rtl/>
          <w:lang w:bidi="ar"/>
        </w:rPr>
      </w:pPr>
      <w:r w:rsidRPr="00782EEC">
        <w:rPr>
          <w:rFonts w:hint="cs"/>
          <w:b/>
          <w:bCs/>
          <w:sz w:val="24"/>
          <w:szCs w:val="24"/>
          <w:rtl/>
        </w:rPr>
        <w:t>تُستبدل عبارتا "وزارة البلدية والبيئة" و "وزير البلدية والبيئة" بعبارتي "وزارة البلدية والتخطيط العمراني" و "وزير البلدية والتخطيط العمراني" المنصوص عليهما في</w:t>
      </w:r>
      <w:r w:rsidRPr="00782EEC">
        <w:rPr>
          <w:rFonts w:hint="cs"/>
          <w:b/>
          <w:bCs/>
          <w:sz w:val="24"/>
          <w:szCs w:val="24"/>
          <w:rtl/>
          <w:lang w:bidi="ar"/>
        </w:rPr>
        <w:t xml:space="preserve"> </w:t>
      </w:r>
      <w:hyperlink r:id="rId6" w:tgtFrame="_top" w:history="1">
        <w:r w:rsidRPr="00782EEC">
          <w:rPr>
            <w:rStyle w:val="a3"/>
            <w:rFonts w:hint="cs"/>
            <w:b/>
            <w:bCs/>
            <w:sz w:val="24"/>
            <w:szCs w:val="24"/>
            <w:rtl/>
          </w:rPr>
          <w:t>المادة (1)</w:t>
        </w:r>
      </w:hyperlink>
      <w:r w:rsidRPr="00782EEC">
        <w:rPr>
          <w:rFonts w:hint="cs"/>
          <w:b/>
          <w:bCs/>
          <w:sz w:val="24"/>
          <w:szCs w:val="24"/>
          <w:rtl/>
          <w:lang w:bidi="ar"/>
        </w:rPr>
        <w:t xml:space="preserve"> </w:t>
      </w:r>
      <w:r w:rsidRPr="00782EEC">
        <w:rPr>
          <w:rFonts w:hint="cs"/>
          <w:b/>
          <w:bCs/>
          <w:sz w:val="24"/>
          <w:szCs w:val="24"/>
          <w:rtl/>
        </w:rPr>
        <w:t>من القانون رقم (4) لسنة 2008 المشار إليه.</w:t>
      </w:r>
      <w:r w:rsidRPr="00782EEC">
        <w:rPr>
          <w:rFonts w:hint="cs"/>
          <w:b/>
          <w:bCs/>
          <w:sz w:val="24"/>
          <w:szCs w:val="24"/>
          <w:rtl/>
          <w:lang w:bidi="ar"/>
        </w:rPr>
        <w:br/>
      </w:r>
      <w:r w:rsidRPr="00782EEC">
        <w:rPr>
          <w:rFonts w:hint="cs"/>
          <w:b/>
          <w:bCs/>
          <w:sz w:val="24"/>
          <w:szCs w:val="24"/>
          <w:rtl/>
          <w:lang w:bidi="ar"/>
        </w:rPr>
        <w:br/>
      </w:r>
      <w:r w:rsidRPr="00782EEC">
        <w:rPr>
          <w:rFonts w:hint="cs"/>
          <w:b/>
          <w:bCs/>
          <w:sz w:val="24"/>
          <w:szCs w:val="24"/>
          <w:rtl/>
        </w:rPr>
        <w:t>كما يُستبدل بنصي المادتين (</w:t>
      </w:r>
      <w:hyperlink r:id="rId7" w:tgtFrame="_top" w:history="1">
        <w:r w:rsidRPr="00782EEC">
          <w:rPr>
            <w:rStyle w:val="a3"/>
            <w:rFonts w:hint="cs"/>
            <w:b/>
            <w:bCs/>
            <w:sz w:val="24"/>
            <w:szCs w:val="24"/>
            <w:rtl/>
            <w:lang w:bidi="ar"/>
          </w:rPr>
          <w:t>3</w:t>
        </w:r>
      </w:hyperlink>
      <w:r w:rsidRPr="00782EEC">
        <w:rPr>
          <w:rFonts w:hint="cs"/>
          <w:b/>
          <w:bCs/>
          <w:sz w:val="24"/>
          <w:szCs w:val="24"/>
          <w:rtl/>
          <w:lang w:bidi="ar"/>
        </w:rPr>
        <w:t>)</w:t>
      </w:r>
      <w:r w:rsidRPr="00782EEC">
        <w:rPr>
          <w:rFonts w:hint="cs"/>
          <w:b/>
          <w:bCs/>
          <w:sz w:val="24"/>
          <w:szCs w:val="24"/>
          <w:rtl/>
        </w:rPr>
        <w:t>، (</w:t>
      </w:r>
      <w:hyperlink r:id="rId8" w:tgtFrame="_top" w:history="1">
        <w:r w:rsidRPr="00782EEC">
          <w:rPr>
            <w:rStyle w:val="a3"/>
            <w:rFonts w:hint="cs"/>
            <w:b/>
            <w:bCs/>
            <w:sz w:val="24"/>
            <w:szCs w:val="24"/>
            <w:rtl/>
            <w:lang w:bidi="ar"/>
          </w:rPr>
          <w:t>20</w:t>
        </w:r>
      </w:hyperlink>
      <w:r w:rsidRPr="00782EEC">
        <w:rPr>
          <w:rFonts w:hint="cs"/>
          <w:b/>
          <w:bCs/>
          <w:sz w:val="24"/>
          <w:szCs w:val="24"/>
          <w:rtl/>
          <w:lang w:bidi="ar"/>
        </w:rPr>
        <w:t xml:space="preserve">) </w:t>
      </w:r>
      <w:r w:rsidRPr="00782EEC">
        <w:rPr>
          <w:rFonts w:hint="cs"/>
          <w:b/>
          <w:bCs/>
          <w:sz w:val="24"/>
          <w:szCs w:val="24"/>
          <w:rtl/>
        </w:rPr>
        <w:t>من القانون رقم (4) لسنة 2008 المشار إليه، النصان التاليان:</w:t>
      </w:r>
      <w:r w:rsidRPr="00782EEC">
        <w:rPr>
          <w:rFonts w:hint="cs"/>
          <w:b/>
          <w:bCs/>
          <w:sz w:val="24"/>
          <w:szCs w:val="24"/>
          <w:rtl/>
          <w:lang w:bidi="ar"/>
        </w:rPr>
        <w:br/>
      </w:r>
      <w:hyperlink r:id="rId9" w:tgtFrame="_top" w:history="1">
        <w:r w:rsidRPr="00782EEC">
          <w:rPr>
            <w:rStyle w:val="a3"/>
            <w:rFonts w:hint="cs"/>
            <w:b/>
            <w:bCs/>
            <w:sz w:val="24"/>
            <w:szCs w:val="24"/>
            <w:rtl/>
          </w:rPr>
          <w:t>مادة (3)</w:t>
        </w:r>
      </w:hyperlink>
      <w:r w:rsidRPr="00782EEC">
        <w:rPr>
          <w:rFonts w:hint="cs"/>
          <w:b/>
          <w:bCs/>
          <w:sz w:val="24"/>
          <w:szCs w:val="24"/>
          <w:rtl/>
          <w:lang w:bidi="ar"/>
        </w:rPr>
        <w:t>:</w:t>
      </w:r>
      <w:r w:rsidRPr="00782EEC">
        <w:rPr>
          <w:rFonts w:hint="cs"/>
          <w:b/>
          <w:bCs/>
          <w:sz w:val="24"/>
          <w:szCs w:val="24"/>
          <w:rtl/>
          <w:lang w:bidi="ar"/>
        </w:rPr>
        <w:br/>
        <w:t>"</w:t>
      </w:r>
      <w:r w:rsidRPr="00782EEC">
        <w:rPr>
          <w:rFonts w:hint="cs"/>
          <w:b/>
          <w:bCs/>
          <w:sz w:val="24"/>
          <w:szCs w:val="24"/>
          <w:rtl/>
        </w:rPr>
        <w:t>تُبرم عقود الإيجار الخاضعة لأحكام هذا القانون كتابة، ويجب أن يتضمن العقد اسم المؤجر، واسم المستأجر، وجنسيتهما، وعنوانهما، ومن يمثلهما قانوناً، ومدة الإيجار، ومقدار الأجرة، وكيفية أدائها، وأوصاف العين المؤجرة، والغاية من التأجير، وجميع الشروط المتفق عليها.</w:t>
      </w:r>
      <w:r w:rsidRPr="00782EEC">
        <w:rPr>
          <w:rFonts w:hint="cs"/>
          <w:b/>
          <w:bCs/>
          <w:sz w:val="24"/>
          <w:szCs w:val="24"/>
          <w:rtl/>
          <w:lang w:bidi="ar"/>
        </w:rPr>
        <w:br/>
      </w:r>
      <w:r w:rsidRPr="00782EEC">
        <w:rPr>
          <w:rFonts w:hint="cs"/>
          <w:b/>
          <w:bCs/>
          <w:sz w:val="24"/>
          <w:szCs w:val="24"/>
          <w:rtl/>
        </w:rPr>
        <w:t>ويجب على المؤجر تسجيل عقد الإيجار بالمكتب خلال شهرين من تاريخ إبرامه.</w:t>
      </w:r>
      <w:r w:rsidRPr="00782EEC">
        <w:rPr>
          <w:rFonts w:hint="cs"/>
          <w:b/>
          <w:bCs/>
          <w:sz w:val="24"/>
          <w:szCs w:val="24"/>
          <w:rtl/>
          <w:lang w:bidi="ar"/>
        </w:rPr>
        <w:br/>
      </w:r>
      <w:r w:rsidRPr="00782EEC">
        <w:rPr>
          <w:rFonts w:hint="cs"/>
          <w:b/>
          <w:bCs/>
          <w:sz w:val="24"/>
          <w:szCs w:val="24"/>
          <w:rtl/>
        </w:rPr>
        <w:t>ولا تُسمع أية طلبات يقدمها المؤجر أمام اللجنة أو القضاء وتكون ناشئة عن عقد الإيجار إلا إذا كان العقد مسجلاً بالمكتب، ويُستثنى من ذلك طلب إثبات العلاقة الإيجارية بالنسبة لعقود الإيجار السابقة على 15/2/2008.".</w:t>
      </w:r>
      <w:r w:rsidRPr="00782EEC">
        <w:rPr>
          <w:rFonts w:hint="cs"/>
          <w:b/>
          <w:bCs/>
          <w:sz w:val="24"/>
          <w:szCs w:val="24"/>
          <w:rtl/>
          <w:lang w:bidi="ar"/>
        </w:rPr>
        <w:br/>
      </w:r>
      <w:r w:rsidRPr="00782EEC">
        <w:rPr>
          <w:rFonts w:hint="cs"/>
          <w:b/>
          <w:bCs/>
          <w:sz w:val="24"/>
          <w:szCs w:val="24"/>
          <w:rtl/>
          <w:lang w:bidi="ar"/>
        </w:rPr>
        <w:br/>
      </w:r>
      <w:hyperlink r:id="rId10" w:tgtFrame="_top" w:history="1">
        <w:r w:rsidRPr="00782EEC">
          <w:rPr>
            <w:rStyle w:val="a3"/>
            <w:rFonts w:hint="cs"/>
            <w:b/>
            <w:bCs/>
            <w:sz w:val="24"/>
            <w:szCs w:val="24"/>
            <w:rtl/>
          </w:rPr>
          <w:t>مادة (20)</w:t>
        </w:r>
      </w:hyperlink>
      <w:r w:rsidRPr="00782EEC">
        <w:rPr>
          <w:rFonts w:hint="cs"/>
          <w:b/>
          <w:bCs/>
          <w:sz w:val="24"/>
          <w:szCs w:val="24"/>
          <w:rtl/>
          <w:lang w:bidi="ar"/>
        </w:rPr>
        <w:t>:</w:t>
      </w:r>
      <w:r w:rsidRPr="00782EEC">
        <w:rPr>
          <w:rFonts w:hint="cs"/>
          <w:b/>
          <w:bCs/>
          <w:sz w:val="24"/>
          <w:szCs w:val="24"/>
          <w:rtl/>
          <w:lang w:bidi="ar"/>
        </w:rPr>
        <w:br/>
        <w:t xml:space="preserve">"1- </w:t>
      </w:r>
      <w:r w:rsidRPr="00782EEC">
        <w:rPr>
          <w:rFonts w:hint="cs"/>
          <w:b/>
          <w:bCs/>
          <w:sz w:val="24"/>
          <w:szCs w:val="24"/>
          <w:rtl/>
        </w:rPr>
        <w:t>تُنشئ الوزارة مكتباً أو أكثر يسمى "مكتب تسجيل عقود إيجار العقارات" يختص بتسجيل جميع عقود الإيجار التي ترد على العقارات والأماكن والمباني وأجزائها المشمولة بأحكام هذا القانون وإعداد السجلات اللازمة لذلك.</w:t>
      </w:r>
      <w:r w:rsidRPr="00782EEC">
        <w:rPr>
          <w:rFonts w:hint="cs"/>
          <w:b/>
          <w:bCs/>
          <w:sz w:val="24"/>
          <w:szCs w:val="24"/>
          <w:rtl/>
          <w:lang w:bidi="ar"/>
        </w:rPr>
        <w:br/>
        <w:t xml:space="preserve">2- </w:t>
      </w:r>
      <w:r w:rsidRPr="00782EEC">
        <w:rPr>
          <w:rFonts w:hint="cs"/>
          <w:b/>
          <w:bCs/>
          <w:sz w:val="24"/>
          <w:szCs w:val="24"/>
          <w:rtl/>
        </w:rPr>
        <w:t>يُحصل المكتب رسم مقابل كل معاملة تسجيل لعقد إيجار العقار مقداره (0,5%) من القيمة الإيجارية السنوية لكل وحدة سكنية أو تجارية أو غيرها من الوحدات المبينة في رخص بناء العقار، بحد أدنى (250) ريال وبحد أقصى (2500) ريال، ويجوز تعديل هذا الرسم بقرار من مجلس الوزراء، بناءً على اقتراح الوزير.</w:t>
      </w:r>
      <w:r w:rsidRPr="00782EEC">
        <w:rPr>
          <w:rFonts w:hint="cs"/>
          <w:b/>
          <w:bCs/>
          <w:sz w:val="24"/>
          <w:szCs w:val="24"/>
          <w:rtl/>
          <w:lang w:bidi="ar"/>
        </w:rPr>
        <w:br/>
        <w:t xml:space="preserve">3- </w:t>
      </w:r>
      <w:r w:rsidRPr="00782EEC">
        <w:rPr>
          <w:rFonts w:hint="cs"/>
          <w:b/>
          <w:bCs/>
          <w:sz w:val="24"/>
          <w:szCs w:val="24"/>
          <w:rtl/>
        </w:rPr>
        <w:t>على الجهات المعنية بتقديم الخدمات بالدولة، عدم تقديم أية خدمات للعقارات المؤجرة إلا بناءً على عقد إيجار مسجل، وعلى تلك الجهات إخطار المكتب مباشرة بالعقارات المؤجرة التي تم توصيل الخدمات إليها، خلال مدة لا تزيد على ثلاثين يوماً من تاريخ الموافقة على توصيل الخدمات إليها.</w:t>
      </w:r>
    </w:p>
    <w:p w:rsidR="00782EEC" w:rsidRPr="00782EEC" w:rsidRDefault="00782EEC" w:rsidP="00782EEC">
      <w:pPr>
        <w:numPr>
          <w:ilvl w:val="0"/>
          <w:numId w:val="2"/>
        </w:numPr>
        <w:bidi/>
        <w:spacing w:line="360" w:lineRule="auto"/>
        <w:rPr>
          <w:rFonts w:hint="cs"/>
          <w:b/>
          <w:bCs/>
          <w:sz w:val="24"/>
          <w:szCs w:val="24"/>
          <w:rtl/>
          <w:lang w:bidi="ar"/>
        </w:rPr>
      </w:pPr>
      <w:hyperlink r:id="rId11" w:history="1">
        <w:r w:rsidRPr="00782EEC">
          <w:rPr>
            <w:rStyle w:val="a3"/>
            <w:rFonts w:hint="cs"/>
            <w:b/>
            <w:bCs/>
            <w:sz w:val="24"/>
            <w:szCs w:val="24"/>
            <w:rtl/>
          </w:rPr>
          <w:t>المادة</w:t>
        </w:r>
        <w:r w:rsidRPr="00782EEC">
          <w:rPr>
            <w:rStyle w:val="a3"/>
            <w:rFonts w:hint="cs"/>
            <w:b/>
            <w:bCs/>
            <w:sz w:val="24"/>
            <w:szCs w:val="24"/>
            <w:rtl/>
            <w:lang w:bidi="ar"/>
          </w:rPr>
          <w:t xml:space="preserve"> 2 </w:t>
        </w:r>
      </w:hyperlink>
    </w:p>
    <w:p w:rsidR="00782EEC" w:rsidRPr="00782EEC" w:rsidRDefault="00782EEC" w:rsidP="00782EEC">
      <w:pPr>
        <w:bidi/>
        <w:spacing w:line="360" w:lineRule="auto"/>
        <w:rPr>
          <w:rFonts w:hint="cs"/>
          <w:b/>
          <w:bCs/>
          <w:sz w:val="24"/>
          <w:szCs w:val="24"/>
          <w:rtl/>
          <w:lang w:bidi="ar"/>
        </w:rPr>
      </w:pPr>
      <w:r w:rsidRPr="00782EEC">
        <w:rPr>
          <w:rFonts w:hint="cs"/>
          <w:b/>
          <w:bCs/>
          <w:sz w:val="24"/>
          <w:szCs w:val="24"/>
          <w:rtl/>
        </w:rPr>
        <w:t>يُستبدل بعنوان الفصل الخامس من القانون رقم (4) لسنة 2008 المشار إليه العنوان التالي "العقوبات والأحكام الختامية".</w:t>
      </w:r>
      <w:r w:rsidRPr="00782EEC">
        <w:rPr>
          <w:rFonts w:hint="cs"/>
          <w:b/>
          <w:bCs/>
          <w:sz w:val="24"/>
          <w:szCs w:val="24"/>
          <w:rtl/>
          <w:lang w:bidi="ar"/>
        </w:rPr>
        <w:br/>
      </w:r>
      <w:r w:rsidRPr="00782EEC">
        <w:rPr>
          <w:rFonts w:hint="cs"/>
          <w:b/>
          <w:bCs/>
          <w:sz w:val="24"/>
          <w:szCs w:val="24"/>
          <w:rtl/>
        </w:rPr>
        <w:t>ويضاف إلى هذا الفصل مادة برقم (26 مكرراً) نصها التالي:</w:t>
      </w:r>
      <w:r w:rsidRPr="00782EEC">
        <w:rPr>
          <w:rFonts w:hint="cs"/>
          <w:b/>
          <w:bCs/>
          <w:sz w:val="24"/>
          <w:szCs w:val="24"/>
          <w:rtl/>
          <w:lang w:bidi="ar"/>
        </w:rPr>
        <w:br/>
      </w:r>
      <w:r w:rsidRPr="00782EEC">
        <w:rPr>
          <w:rFonts w:hint="cs"/>
          <w:b/>
          <w:bCs/>
          <w:sz w:val="24"/>
          <w:szCs w:val="24"/>
          <w:rtl/>
        </w:rPr>
        <w:t>مادة (26 مكرراً):</w:t>
      </w:r>
      <w:r w:rsidRPr="00782EEC">
        <w:rPr>
          <w:rFonts w:hint="cs"/>
          <w:b/>
          <w:bCs/>
          <w:sz w:val="24"/>
          <w:szCs w:val="24"/>
          <w:rtl/>
          <w:lang w:bidi="ar"/>
        </w:rPr>
        <w:br/>
        <w:t>"</w:t>
      </w:r>
      <w:r w:rsidRPr="00782EEC">
        <w:rPr>
          <w:rFonts w:hint="cs"/>
          <w:b/>
          <w:bCs/>
          <w:sz w:val="24"/>
          <w:szCs w:val="24"/>
          <w:rtl/>
        </w:rPr>
        <w:t>مع عدم الإخلال بأية عقوبة أشد ينص عليها قانون آخر، يعاقب بالغرامة التي لا تزيد على (10,000) عشرة آلاف ريال، كل من يخالف حكم المادة (</w:t>
      </w:r>
      <w:hyperlink r:id="rId12" w:tgtFrame="_top" w:history="1">
        <w:r w:rsidRPr="00782EEC">
          <w:rPr>
            <w:rStyle w:val="a3"/>
            <w:rFonts w:hint="cs"/>
            <w:b/>
            <w:bCs/>
            <w:sz w:val="24"/>
            <w:szCs w:val="24"/>
            <w:rtl/>
            <w:lang w:bidi="ar"/>
          </w:rPr>
          <w:t>3</w:t>
        </w:r>
      </w:hyperlink>
      <w:r w:rsidRPr="00782EEC">
        <w:rPr>
          <w:rFonts w:hint="cs"/>
          <w:b/>
          <w:bCs/>
          <w:sz w:val="24"/>
          <w:szCs w:val="24"/>
          <w:rtl/>
          <w:lang w:bidi="ar"/>
        </w:rPr>
        <w:t>/</w:t>
      </w:r>
      <w:r w:rsidRPr="00782EEC">
        <w:rPr>
          <w:rFonts w:hint="cs"/>
          <w:b/>
          <w:bCs/>
          <w:sz w:val="24"/>
          <w:szCs w:val="24"/>
          <w:rtl/>
        </w:rPr>
        <w:t>فقرة ثانية) من هذا القانون.".</w:t>
      </w:r>
    </w:p>
    <w:p w:rsidR="00782EEC" w:rsidRPr="00782EEC" w:rsidRDefault="00782EEC" w:rsidP="00782EEC">
      <w:pPr>
        <w:numPr>
          <w:ilvl w:val="0"/>
          <w:numId w:val="2"/>
        </w:numPr>
        <w:bidi/>
        <w:spacing w:line="360" w:lineRule="auto"/>
        <w:rPr>
          <w:rFonts w:hint="cs"/>
          <w:b/>
          <w:bCs/>
          <w:sz w:val="24"/>
          <w:szCs w:val="24"/>
          <w:rtl/>
          <w:lang w:bidi="ar"/>
        </w:rPr>
      </w:pPr>
      <w:hyperlink r:id="rId13" w:history="1">
        <w:r w:rsidRPr="00782EEC">
          <w:rPr>
            <w:rStyle w:val="a3"/>
            <w:rFonts w:hint="cs"/>
            <w:b/>
            <w:bCs/>
            <w:sz w:val="24"/>
            <w:szCs w:val="24"/>
            <w:rtl/>
          </w:rPr>
          <w:t>المادة</w:t>
        </w:r>
        <w:r w:rsidRPr="00782EEC">
          <w:rPr>
            <w:rStyle w:val="a3"/>
            <w:rFonts w:hint="cs"/>
            <w:b/>
            <w:bCs/>
            <w:sz w:val="24"/>
            <w:szCs w:val="24"/>
            <w:rtl/>
            <w:lang w:bidi="ar"/>
          </w:rPr>
          <w:t xml:space="preserve"> 3 </w:t>
        </w:r>
      </w:hyperlink>
    </w:p>
    <w:p w:rsidR="00782EEC" w:rsidRPr="00782EEC" w:rsidRDefault="00782EEC" w:rsidP="00782EEC">
      <w:pPr>
        <w:bidi/>
        <w:spacing w:line="360" w:lineRule="auto"/>
        <w:rPr>
          <w:rFonts w:hint="cs"/>
          <w:b/>
          <w:bCs/>
          <w:sz w:val="24"/>
          <w:szCs w:val="24"/>
          <w:rtl/>
          <w:lang w:bidi="ar"/>
        </w:rPr>
      </w:pPr>
      <w:r w:rsidRPr="00782EEC">
        <w:rPr>
          <w:rFonts w:hint="cs"/>
          <w:b/>
          <w:bCs/>
          <w:sz w:val="24"/>
          <w:szCs w:val="24"/>
          <w:rtl/>
        </w:rPr>
        <w:t>يلتزم المؤجرون بتوفيق أوضاعهم القانونية، وذلك بتسجيل العقود السارية في تاريخ العمل بهذا القانون خلال ثلاثة أشهر من هذا التاريخ.</w:t>
      </w:r>
      <w:r w:rsidRPr="00782EEC">
        <w:rPr>
          <w:rFonts w:hint="cs"/>
          <w:b/>
          <w:bCs/>
          <w:sz w:val="24"/>
          <w:szCs w:val="24"/>
          <w:rtl/>
          <w:lang w:bidi="ar"/>
        </w:rPr>
        <w:br/>
      </w:r>
      <w:r w:rsidRPr="00782EEC">
        <w:rPr>
          <w:rFonts w:hint="cs"/>
          <w:b/>
          <w:bCs/>
          <w:sz w:val="24"/>
          <w:szCs w:val="24"/>
          <w:rtl/>
        </w:rPr>
        <w:t>ويجوز للوزير مد المهلة المقررة لمدة مماثلة.</w:t>
      </w:r>
    </w:p>
    <w:p w:rsidR="00782EEC" w:rsidRPr="00782EEC" w:rsidRDefault="00782EEC" w:rsidP="00782EEC">
      <w:pPr>
        <w:numPr>
          <w:ilvl w:val="0"/>
          <w:numId w:val="2"/>
        </w:numPr>
        <w:bidi/>
        <w:spacing w:line="360" w:lineRule="auto"/>
        <w:rPr>
          <w:rFonts w:hint="cs"/>
          <w:b/>
          <w:bCs/>
          <w:sz w:val="24"/>
          <w:szCs w:val="24"/>
          <w:rtl/>
          <w:lang w:bidi="ar"/>
        </w:rPr>
      </w:pPr>
      <w:hyperlink r:id="rId14" w:history="1">
        <w:r w:rsidRPr="00782EEC">
          <w:rPr>
            <w:rStyle w:val="a3"/>
            <w:rFonts w:hint="cs"/>
            <w:b/>
            <w:bCs/>
            <w:sz w:val="24"/>
            <w:szCs w:val="24"/>
            <w:rtl/>
          </w:rPr>
          <w:t>المادة</w:t>
        </w:r>
        <w:r w:rsidRPr="00782EEC">
          <w:rPr>
            <w:rStyle w:val="a3"/>
            <w:rFonts w:hint="cs"/>
            <w:b/>
            <w:bCs/>
            <w:sz w:val="24"/>
            <w:szCs w:val="24"/>
            <w:rtl/>
            <w:lang w:bidi="ar"/>
          </w:rPr>
          <w:t xml:space="preserve"> 4 </w:t>
        </w:r>
      </w:hyperlink>
    </w:p>
    <w:p w:rsidR="00782EEC" w:rsidRPr="00782EEC" w:rsidRDefault="00782EEC" w:rsidP="00782EEC">
      <w:pPr>
        <w:bidi/>
        <w:spacing w:line="360" w:lineRule="auto"/>
        <w:rPr>
          <w:rFonts w:hint="cs"/>
          <w:b/>
          <w:bCs/>
          <w:sz w:val="24"/>
          <w:szCs w:val="24"/>
          <w:rtl/>
          <w:lang w:bidi="ar"/>
        </w:rPr>
      </w:pPr>
      <w:r w:rsidRPr="00782EEC">
        <w:rPr>
          <w:rFonts w:hint="cs"/>
          <w:b/>
          <w:bCs/>
          <w:sz w:val="24"/>
          <w:szCs w:val="24"/>
          <w:rtl/>
        </w:rPr>
        <w:t>على جميع الجهات المختصة، كل فيما يخصه، تنفيذ هذا القانون. ويُنشر في الجريدة الرسمية.</w:t>
      </w:r>
    </w:p>
    <w:p w:rsidR="00782EEC" w:rsidRPr="00782EEC" w:rsidRDefault="00782EEC" w:rsidP="00782EEC">
      <w:pPr>
        <w:bidi/>
        <w:spacing w:line="360" w:lineRule="auto"/>
        <w:rPr>
          <w:b/>
          <w:bCs/>
          <w:sz w:val="24"/>
          <w:szCs w:val="24"/>
          <w:lang w:bidi="ar"/>
        </w:rPr>
      </w:pPr>
    </w:p>
    <w:p w:rsidR="00782EEC" w:rsidRPr="00782EEC" w:rsidRDefault="00782EEC" w:rsidP="00782EEC">
      <w:pPr>
        <w:bidi/>
        <w:spacing w:line="360" w:lineRule="auto"/>
        <w:rPr>
          <w:rFonts w:hint="eastAsia"/>
          <w:sz w:val="24"/>
          <w:szCs w:val="24"/>
        </w:rPr>
      </w:pPr>
    </w:p>
    <w:sectPr w:rsidR="00782EEC" w:rsidRPr="00782EE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D74A5"/>
    <w:multiLevelType w:val="multilevel"/>
    <w:tmpl w:val="6D72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53704"/>
    <w:multiLevelType w:val="multilevel"/>
    <w:tmpl w:val="86B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D5"/>
    <w:rsid w:val="001C52D5"/>
    <w:rsid w:val="00782EEC"/>
    <w:rsid w:val="00A514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2CB7"/>
  <w15:chartTrackingRefBased/>
  <w15:docId w15:val="{E74FACEE-7599-4E16-A1D5-4045FF68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52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42999">
      <w:bodyDiv w:val="1"/>
      <w:marLeft w:val="0"/>
      <w:marRight w:val="0"/>
      <w:marTop w:val="0"/>
      <w:marBottom w:val="0"/>
      <w:divBdr>
        <w:top w:val="none" w:sz="0" w:space="0" w:color="auto"/>
        <w:left w:val="none" w:sz="0" w:space="0" w:color="auto"/>
        <w:bottom w:val="none" w:sz="0" w:space="0" w:color="auto"/>
        <w:right w:val="none" w:sz="0" w:space="0" w:color="auto"/>
      </w:divBdr>
      <w:divsChild>
        <w:div w:id="1027216646">
          <w:marLeft w:val="0"/>
          <w:marRight w:val="0"/>
          <w:marTop w:val="0"/>
          <w:marBottom w:val="0"/>
          <w:divBdr>
            <w:top w:val="none" w:sz="0" w:space="0" w:color="auto"/>
            <w:left w:val="none" w:sz="0" w:space="0" w:color="auto"/>
            <w:bottom w:val="none" w:sz="0" w:space="0" w:color="auto"/>
            <w:right w:val="none" w:sz="0" w:space="0" w:color="auto"/>
          </w:divBdr>
          <w:divsChild>
            <w:div w:id="1427533803">
              <w:marLeft w:val="0"/>
              <w:marRight w:val="0"/>
              <w:marTop w:val="0"/>
              <w:marBottom w:val="0"/>
              <w:divBdr>
                <w:top w:val="none" w:sz="0" w:space="0" w:color="auto"/>
                <w:left w:val="none" w:sz="0" w:space="0" w:color="auto"/>
                <w:bottom w:val="none" w:sz="0" w:space="0" w:color="auto"/>
                <w:right w:val="none" w:sz="0" w:space="0" w:color="auto"/>
              </w:divBdr>
              <w:divsChild>
                <w:div w:id="1404067028">
                  <w:marLeft w:val="0"/>
                  <w:marRight w:val="0"/>
                  <w:marTop w:val="0"/>
                  <w:marBottom w:val="0"/>
                  <w:divBdr>
                    <w:top w:val="none" w:sz="0" w:space="0" w:color="auto"/>
                    <w:left w:val="none" w:sz="0" w:space="0" w:color="auto"/>
                    <w:bottom w:val="none" w:sz="0" w:space="0" w:color="auto"/>
                    <w:right w:val="none" w:sz="0" w:space="0" w:color="auto"/>
                  </w:divBdr>
                  <w:divsChild>
                    <w:div w:id="491022162">
                      <w:marLeft w:val="0"/>
                      <w:marRight w:val="0"/>
                      <w:marTop w:val="0"/>
                      <w:marBottom w:val="0"/>
                      <w:divBdr>
                        <w:top w:val="none" w:sz="0" w:space="0" w:color="auto"/>
                        <w:left w:val="none" w:sz="0" w:space="0" w:color="auto"/>
                        <w:bottom w:val="none" w:sz="0" w:space="0" w:color="auto"/>
                        <w:right w:val="none" w:sz="0" w:space="0" w:color="auto"/>
                      </w:divBdr>
                      <w:divsChild>
                        <w:div w:id="1553225872">
                          <w:marLeft w:val="0"/>
                          <w:marRight w:val="0"/>
                          <w:marTop w:val="0"/>
                          <w:marBottom w:val="0"/>
                          <w:divBdr>
                            <w:top w:val="none" w:sz="0" w:space="0" w:color="auto"/>
                            <w:left w:val="none" w:sz="0" w:space="0" w:color="auto"/>
                            <w:bottom w:val="none" w:sz="0" w:space="0" w:color="auto"/>
                            <w:right w:val="none" w:sz="0" w:space="0" w:color="auto"/>
                          </w:divBdr>
                          <w:divsChild>
                            <w:div w:id="1856993858">
                              <w:marLeft w:val="0"/>
                              <w:marRight w:val="0"/>
                              <w:marTop w:val="0"/>
                              <w:marBottom w:val="0"/>
                              <w:divBdr>
                                <w:top w:val="none" w:sz="0" w:space="0" w:color="auto"/>
                                <w:left w:val="none" w:sz="0" w:space="0" w:color="auto"/>
                                <w:bottom w:val="none" w:sz="0" w:space="0" w:color="auto"/>
                                <w:right w:val="none" w:sz="0" w:space="0" w:color="auto"/>
                              </w:divBdr>
                              <w:divsChild>
                                <w:div w:id="1248886124">
                                  <w:marLeft w:val="0"/>
                                  <w:marRight w:val="0"/>
                                  <w:marTop w:val="0"/>
                                  <w:marBottom w:val="0"/>
                                  <w:divBdr>
                                    <w:top w:val="none" w:sz="0" w:space="0" w:color="auto"/>
                                    <w:left w:val="none" w:sz="0" w:space="0" w:color="auto"/>
                                    <w:bottom w:val="none" w:sz="0" w:space="0" w:color="auto"/>
                                    <w:right w:val="none" w:sz="0" w:space="0" w:color="auto"/>
                                  </w:divBdr>
                                </w:div>
                                <w:div w:id="20312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451715">
      <w:bodyDiv w:val="1"/>
      <w:marLeft w:val="0"/>
      <w:marRight w:val="0"/>
      <w:marTop w:val="0"/>
      <w:marBottom w:val="0"/>
      <w:divBdr>
        <w:top w:val="none" w:sz="0" w:space="0" w:color="auto"/>
        <w:left w:val="none" w:sz="0" w:space="0" w:color="auto"/>
        <w:bottom w:val="none" w:sz="0" w:space="0" w:color="auto"/>
        <w:right w:val="none" w:sz="0" w:space="0" w:color="auto"/>
      </w:divBdr>
      <w:divsChild>
        <w:div w:id="48113832">
          <w:marLeft w:val="0"/>
          <w:marRight w:val="0"/>
          <w:marTop w:val="0"/>
          <w:marBottom w:val="0"/>
          <w:divBdr>
            <w:top w:val="none" w:sz="0" w:space="0" w:color="auto"/>
            <w:left w:val="none" w:sz="0" w:space="0" w:color="auto"/>
            <w:bottom w:val="none" w:sz="0" w:space="0" w:color="auto"/>
            <w:right w:val="none" w:sz="0" w:space="0" w:color="auto"/>
          </w:divBdr>
          <w:divsChild>
            <w:div w:id="1611818104">
              <w:marLeft w:val="0"/>
              <w:marRight w:val="0"/>
              <w:marTop w:val="0"/>
              <w:marBottom w:val="0"/>
              <w:divBdr>
                <w:top w:val="none" w:sz="0" w:space="0" w:color="auto"/>
                <w:left w:val="none" w:sz="0" w:space="0" w:color="auto"/>
                <w:bottom w:val="none" w:sz="0" w:space="0" w:color="auto"/>
                <w:right w:val="none" w:sz="0" w:space="0" w:color="auto"/>
              </w:divBdr>
              <w:divsChild>
                <w:div w:id="1806123228">
                  <w:marLeft w:val="0"/>
                  <w:marRight w:val="0"/>
                  <w:marTop w:val="0"/>
                  <w:marBottom w:val="0"/>
                  <w:divBdr>
                    <w:top w:val="none" w:sz="0" w:space="0" w:color="auto"/>
                    <w:left w:val="none" w:sz="0" w:space="0" w:color="auto"/>
                    <w:bottom w:val="none" w:sz="0" w:space="0" w:color="auto"/>
                    <w:right w:val="none" w:sz="0" w:space="0" w:color="auto"/>
                  </w:divBdr>
                  <w:divsChild>
                    <w:div w:id="879780020">
                      <w:marLeft w:val="0"/>
                      <w:marRight w:val="0"/>
                      <w:marTop w:val="0"/>
                      <w:marBottom w:val="0"/>
                      <w:divBdr>
                        <w:top w:val="none" w:sz="0" w:space="0" w:color="auto"/>
                        <w:left w:val="none" w:sz="0" w:space="0" w:color="auto"/>
                        <w:bottom w:val="none" w:sz="0" w:space="0" w:color="auto"/>
                        <w:right w:val="none" w:sz="0" w:space="0" w:color="auto"/>
                      </w:divBdr>
                      <w:divsChild>
                        <w:div w:id="2010674049">
                          <w:marLeft w:val="0"/>
                          <w:marRight w:val="0"/>
                          <w:marTop w:val="0"/>
                          <w:marBottom w:val="0"/>
                          <w:divBdr>
                            <w:top w:val="none" w:sz="0" w:space="0" w:color="auto"/>
                            <w:left w:val="none" w:sz="0" w:space="0" w:color="auto"/>
                            <w:bottom w:val="none" w:sz="0" w:space="0" w:color="auto"/>
                            <w:right w:val="none" w:sz="0" w:space="0" w:color="auto"/>
                          </w:divBdr>
                          <w:divsChild>
                            <w:div w:id="1742866472">
                              <w:marLeft w:val="0"/>
                              <w:marRight w:val="0"/>
                              <w:marTop w:val="0"/>
                              <w:marBottom w:val="0"/>
                              <w:divBdr>
                                <w:top w:val="none" w:sz="0" w:space="0" w:color="auto"/>
                                <w:left w:val="none" w:sz="0" w:space="0" w:color="auto"/>
                                <w:bottom w:val="none" w:sz="0" w:space="0" w:color="auto"/>
                                <w:right w:val="none" w:sz="0" w:space="0" w:color="auto"/>
                              </w:divBdr>
                              <w:divsChild>
                                <w:div w:id="16774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eezan.qa/LawArticles.aspx?LawArticleID=53353&amp;LawID=3982&amp;language=ar" TargetMode="External"/><Relationship Id="rId13" Type="http://schemas.openxmlformats.org/officeDocument/2006/relationships/hyperlink" Target="http://www.almeezan.qa/LawArticles.aspx?LawArticleID=74999&amp;LawID=7479&amp;language=ar" TargetMode="External"/><Relationship Id="rId3" Type="http://schemas.openxmlformats.org/officeDocument/2006/relationships/settings" Target="settings.xml"/><Relationship Id="rId7" Type="http://schemas.openxmlformats.org/officeDocument/2006/relationships/hyperlink" Target="http://www.almeezan.qa/LawArticles.aspx?LawArticleID=53334&amp;LawID=3982&amp;language=ar" TargetMode="External"/><Relationship Id="rId12" Type="http://schemas.openxmlformats.org/officeDocument/2006/relationships/hyperlink" Target="http://www.almeezan.qa/LawArticles.aspx?LawArticleID=53334&amp;LawID=3982&amp;language=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meezan.qa/LawArticles.aspx?LawArticleID=53331&amp;LawID=3982&amp;language=ar" TargetMode="External"/><Relationship Id="rId11" Type="http://schemas.openxmlformats.org/officeDocument/2006/relationships/hyperlink" Target="http://www.almeezan.qa/LawArticles.aspx?LawArticleID=74998&amp;LawID=7479&amp;language=ar" TargetMode="External"/><Relationship Id="rId5" Type="http://schemas.openxmlformats.org/officeDocument/2006/relationships/hyperlink" Target="http://www.almeezan.qa/LawArticles.aspx?LawArticleID=74997&amp;LawID=7479&amp;language=ar" TargetMode="External"/><Relationship Id="rId15" Type="http://schemas.openxmlformats.org/officeDocument/2006/relationships/fontTable" Target="fontTable.xml"/><Relationship Id="rId10" Type="http://schemas.openxmlformats.org/officeDocument/2006/relationships/hyperlink" Target="http://www.almeezan.qa/LawArticles.aspx?LawArticleID=53353&amp;LawID=3982&amp;language=ar" TargetMode="External"/><Relationship Id="rId4" Type="http://schemas.openxmlformats.org/officeDocument/2006/relationships/webSettings" Target="webSettings.xml"/><Relationship Id="rId9" Type="http://schemas.openxmlformats.org/officeDocument/2006/relationships/hyperlink" Target="http://www.almeezan.qa/LawArticles.aspx?LawArticleID=53334&amp;LawID=3982&amp;language=ar" TargetMode="External"/><Relationship Id="rId14" Type="http://schemas.openxmlformats.org/officeDocument/2006/relationships/hyperlink" Target="http://www.almeezan.qa/LawArticles.aspx?LawArticleID=75000&amp;LawID=7479&amp;language=a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2</cp:revision>
  <dcterms:created xsi:type="dcterms:W3CDTF">2018-04-02T07:23:00Z</dcterms:created>
  <dcterms:modified xsi:type="dcterms:W3CDTF">2018-04-02T07:23:00Z</dcterms:modified>
</cp:coreProperties>
</file>