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8E" w:rsidRPr="0068672F" w:rsidRDefault="0068672F" w:rsidP="0068672F">
      <w:pPr>
        <w:bidi/>
        <w:spacing w:line="360" w:lineRule="auto"/>
        <w:jc w:val="center"/>
        <w:rPr>
          <w:b/>
          <w:bCs/>
          <w:sz w:val="32"/>
          <w:szCs w:val="32"/>
          <w:lang w:val="en"/>
        </w:rPr>
      </w:pPr>
      <w:r w:rsidRPr="0068672F">
        <w:rPr>
          <w:rFonts w:cs="Times New Roman" w:hint="cs"/>
          <w:b/>
          <w:bCs/>
          <w:sz w:val="32"/>
          <w:szCs w:val="32"/>
          <w:rtl/>
        </w:rPr>
        <w:t>قانون رقم (2) لسنة 1998 بتعديل بعض أحكام القانون رقم (1) لسنة 1986 بشأن تسجيل شركات الأدوية ومنتجاتها</w:t>
      </w:r>
    </w:p>
    <w:p w:rsidR="0068672F" w:rsidRPr="0068672F" w:rsidRDefault="0068672F" w:rsidP="0068672F">
      <w:pPr>
        <w:bidi/>
        <w:spacing w:line="360" w:lineRule="auto"/>
        <w:jc w:val="left"/>
        <w:rPr>
          <w:b/>
          <w:bCs/>
          <w:sz w:val="24"/>
          <w:szCs w:val="24"/>
          <w:lang w:val="en"/>
        </w:rPr>
      </w:pPr>
    </w:p>
    <w:p w:rsidR="0068672F" w:rsidRPr="0068672F" w:rsidRDefault="0068672F" w:rsidP="0068672F">
      <w:pPr>
        <w:widowControl/>
        <w:numPr>
          <w:ilvl w:val="0"/>
          <w:numId w:val="2"/>
        </w:numPr>
        <w:wordWrap/>
        <w:autoSpaceDE/>
        <w:autoSpaceDN/>
        <w:bidi/>
        <w:spacing w:before="100" w:beforeAutospacing="1" w:after="100" w:afterAutospacing="1" w:line="360" w:lineRule="auto"/>
        <w:jc w:val="left"/>
        <w:outlineLvl w:val="3"/>
        <w:rPr>
          <w:rFonts w:ascii="굴림" w:eastAsia="굴림" w:hAnsi="굴림" w:cs="굴림" w:hint="cs"/>
          <w:b/>
          <w:bCs/>
          <w:color w:val="900C51"/>
          <w:kern w:val="0"/>
          <w:sz w:val="24"/>
          <w:szCs w:val="24"/>
          <w:rtl/>
          <w:lang w:bidi="ar"/>
        </w:rPr>
      </w:pPr>
      <w:hyperlink r:id="rId5" w:history="1">
        <w:r w:rsidRPr="0068672F">
          <w:rPr>
            <w:rFonts w:ascii="굴림" w:eastAsia="굴림" w:hAnsi="굴림" w:cs="Times New Roman" w:hint="cs"/>
            <w:b/>
            <w:bCs/>
            <w:color w:val="900C51"/>
            <w:kern w:val="0"/>
            <w:sz w:val="24"/>
            <w:szCs w:val="24"/>
            <w:u w:val="single"/>
            <w:rtl/>
          </w:rPr>
          <w:t>المادة</w:t>
        </w:r>
        <w:r w:rsidRPr="0068672F">
          <w:rPr>
            <w:rFonts w:ascii="굴림" w:eastAsia="굴림" w:hAnsi="굴림" w:cs="Times New Roman" w:hint="cs"/>
            <w:b/>
            <w:bCs/>
            <w:color w:val="900C51"/>
            <w:kern w:val="0"/>
            <w:sz w:val="24"/>
            <w:szCs w:val="24"/>
            <w:u w:val="single"/>
            <w:rtl/>
            <w:lang w:bidi="ar"/>
          </w:rPr>
          <w:t xml:space="preserve"> 1 </w:t>
        </w:r>
      </w:hyperlink>
      <w:bookmarkStart w:id="0" w:name="_GoBack"/>
      <w:bookmarkEnd w:id="0"/>
    </w:p>
    <w:p w:rsidR="0068672F" w:rsidRPr="0068672F" w:rsidRDefault="0068672F" w:rsidP="0068672F">
      <w:pPr>
        <w:widowControl/>
        <w:wordWrap/>
        <w:autoSpaceDE/>
        <w:autoSpaceDN/>
        <w:bidi/>
        <w:spacing w:before="100" w:beforeAutospacing="1" w:after="100" w:afterAutospacing="1" w:line="360" w:lineRule="auto"/>
        <w:ind w:left="720"/>
        <w:jc w:val="left"/>
        <w:rPr>
          <w:rFonts w:ascii="굴림" w:eastAsia="굴림" w:hAnsi="굴림" w:cs="굴림" w:hint="cs"/>
          <w:kern w:val="0"/>
          <w:sz w:val="24"/>
          <w:szCs w:val="24"/>
          <w:rtl/>
          <w:lang w:bidi="ar"/>
        </w:rPr>
      </w:pPr>
      <w:r w:rsidRPr="0068672F">
        <w:rPr>
          <w:rFonts w:ascii="굴림" w:eastAsia="굴림" w:hAnsi="굴림" w:cs="Times New Roman" w:hint="cs"/>
          <w:kern w:val="0"/>
          <w:sz w:val="24"/>
          <w:szCs w:val="24"/>
          <w:rtl/>
        </w:rPr>
        <w:t>يستبدل بنص الفقرة الثانية من المادة (</w:t>
      </w:r>
      <w:hyperlink r:id="rId6" w:tgtFrame="_top" w:history="1">
        <w:r w:rsidRPr="0068672F">
          <w:rPr>
            <w:rFonts w:ascii="굴림" w:eastAsia="굴림" w:hAnsi="굴림" w:cs="Times New Roman" w:hint="cs"/>
            <w:color w:val="0000FF"/>
            <w:kern w:val="0"/>
            <w:sz w:val="24"/>
            <w:szCs w:val="24"/>
            <w:u w:val="single"/>
            <w:rtl/>
            <w:lang w:bidi="ar"/>
          </w:rPr>
          <w:t>9</w:t>
        </w:r>
      </w:hyperlink>
      <w:r w:rsidRPr="0068672F">
        <w:rPr>
          <w:rFonts w:ascii="굴림" w:eastAsia="굴림" w:hAnsi="굴림" w:cs="Times New Roman" w:hint="cs"/>
          <w:kern w:val="0"/>
          <w:sz w:val="24"/>
          <w:szCs w:val="24"/>
          <w:rtl/>
          <w:lang w:bidi="ar"/>
        </w:rPr>
        <w:t>)</w:t>
      </w:r>
      <w:r w:rsidRPr="0068672F">
        <w:rPr>
          <w:rFonts w:ascii="굴림" w:eastAsia="굴림" w:hAnsi="굴림" w:cs="Times New Roman" w:hint="cs"/>
          <w:kern w:val="0"/>
          <w:sz w:val="24"/>
          <w:szCs w:val="24"/>
          <w:rtl/>
        </w:rPr>
        <w:t>، وبنص المادة (</w:t>
      </w:r>
      <w:hyperlink r:id="rId7" w:tgtFrame="_top" w:history="1">
        <w:r w:rsidRPr="0068672F">
          <w:rPr>
            <w:rFonts w:ascii="굴림" w:eastAsia="굴림" w:hAnsi="굴림" w:cs="Times New Roman" w:hint="cs"/>
            <w:color w:val="0000FF"/>
            <w:kern w:val="0"/>
            <w:sz w:val="24"/>
            <w:szCs w:val="24"/>
            <w:u w:val="single"/>
            <w:rtl/>
            <w:lang w:bidi="ar"/>
          </w:rPr>
          <w:t>10</w:t>
        </w:r>
      </w:hyperlink>
      <w:r w:rsidRPr="0068672F">
        <w:rPr>
          <w:rFonts w:ascii="굴림" w:eastAsia="굴림" w:hAnsi="굴림" w:cs="Times New Roman" w:hint="cs"/>
          <w:kern w:val="0"/>
          <w:sz w:val="24"/>
          <w:szCs w:val="24"/>
          <w:rtl/>
          <w:lang w:bidi="ar"/>
        </w:rPr>
        <w:t>)</w:t>
      </w:r>
      <w:r w:rsidRPr="0068672F">
        <w:rPr>
          <w:rFonts w:ascii="굴림" w:eastAsia="굴림" w:hAnsi="굴림" w:cs="Times New Roman" w:hint="cs"/>
          <w:kern w:val="0"/>
          <w:sz w:val="24"/>
          <w:szCs w:val="24"/>
          <w:rtl/>
        </w:rPr>
        <w:t>، وبنص الفقرة الأولى من المادة (</w:t>
      </w:r>
      <w:hyperlink r:id="rId8" w:tgtFrame="_top" w:history="1">
        <w:r w:rsidRPr="0068672F">
          <w:rPr>
            <w:rFonts w:ascii="굴림" w:eastAsia="굴림" w:hAnsi="굴림" w:cs="Times New Roman" w:hint="cs"/>
            <w:color w:val="0000FF"/>
            <w:kern w:val="0"/>
            <w:sz w:val="24"/>
            <w:szCs w:val="24"/>
            <w:u w:val="single"/>
            <w:rtl/>
            <w:lang w:bidi="ar"/>
          </w:rPr>
          <w:t>13</w:t>
        </w:r>
      </w:hyperlink>
      <w:r w:rsidRPr="0068672F">
        <w:rPr>
          <w:rFonts w:ascii="굴림" w:eastAsia="굴림" w:hAnsi="굴림" w:cs="Times New Roman" w:hint="cs"/>
          <w:kern w:val="0"/>
          <w:sz w:val="24"/>
          <w:szCs w:val="24"/>
          <w:rtl/>
          <w:lang w:bidi="ar"/>
        </w:rPr>
        <w:t xml:space="preserve">) </w:t>
      </w:r>
      <w:r w:rsidRPr="0068672F">
        <w:rPr>
          <w:rFonts w:ascii="굴림" w:eastAsia="굴림" w:hAnsi="굴림" w:cs="Times New Roman" w:hint="cs"/>
          <w:kern w:val="0"/>
          <w:sz w:val="24"/>
          <w:szCs w:val="24"/>
          <w:rtl/>
        </w:rPr>
        <w:t>من القانون رقم (1) لسنة 1986 المشار إليه، النصوص التالية:</w:t>
      </w:r>
      <w:r w:rsidRPr="0068672F">
        <w:rPr>
          <w:rFonts w:ascii="굴림" w:eastAsia="굴림" w:hAnsi="굴림" w:cs="굴림" w:hint="cs"/>
          <w:kern w:val="0"/>
          <w:sz w:val="24"/>
          <w:szCs w:val="24"/>
          <w:rtl/>
          <w:lang w:bidi="ar"/>
        </w:rPr>
        <w:br/>
      </w:r>
      <w:hyperlink r:id="rId9" w:tgtFrame="_top" w:history="1">
        <w:r w:rsidRPr="0068672F">
          <w:rPr>
            <w:rFonts w:ascii="굴림" w:eastAsia="굴림" w:hAnsi="굴림" w:cs="Times New Roman" w:hint="cs"/>
            <w:color w:val="0000FF"/>
            <w:kern w:val="0"/>
            <w:sz w:val="24"/>
            <w:szCs w:val="24"/>
            <w:u w:val="single"/>
            <w:rtl/>
          </w:rPr>
          <w:t>مادة (9)</w:t>
        </w:r>
      </w:hyperlink>
      <w:r w:rsidRPr="0068672F">
        <w:rPr>
          <w:rFonts w:ascii="굴림" w:eastAsia="굴림" w:hAnsi="굴림" w:cs="Times New Roman" w:hint="cs"/>
          <w:kern w:val="0"/>
          <w:sz w:val="24"/>
          <w:szCs w:val="24"/>
          <w:rtl/>
          <w:lang w:bidi="ar"/>
        </w:rPr>
        <w:t xml:space="preserve"> </w:t>
      </w:r>
      <w:r w:rsidRPr="0068672F">
        <w:rPr>
          <w:rFonts w:ascii="굴림" w:eastAsia="굴림" w:hAnsi="굴림" w:cs="Times New Roman" w:hint="cs"/>
          <w:kern w:val="0"/>
          <w:sz w:val="24"/>
          <w:szCs w:val="24"/>
          <w:rtl/>
        </w:rPr>
        <w:t>فقرة ثانية:</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lang w:bidi="ar"/>
        </w:rPr>
        <w:t>«</w:t>
      </w:r>
      <w:r w:rsidRPr="0068672F">
        <w:rPr>
          <w:rFonts w:ascii="굴림" w:eastAsia="굴림" w:hAnsi="굴림" w:cs="Times New Roman" w:hint="cs"/>
          <w:kern w:val="0"/>
          <w:sz w:val="24"/>
          <w:szCs w:val="24"/>
          <w:rtl/>
        </w:rPr>
        <w:t>ويكون صاحب الشركة والقائم على إدارتها ووكيلها ووسيطها والمستورد بدولة قطر مسئولين عن كل ما يقع من مخالفات لأحكام هذا القانون أو اللوائح والقرارات المنفذة له».</w:t>
      </w:r>
      <w:r w:rsidRPr="0068672F">
        <w:rPr>
          <w:rFonts w:ascii="굴림" w:eastAsia="굴림" w:hAnsi="굴림" w:cs="굴림" w:hint="cs"/>
          <w:kern w:val="0"/>
          <w:sz w:val="24"/>
          <w:szCs w:val="24"/>
          <w:rtl/>
          <w:lang w:bidi="ar"/>
        </w:rPr>
        <w:br/>
      </w:r>
      <w:r w:rsidRPr="0068672F">
        <w:rPr>
          <w:rFonts w:ascii="굴림" w:eastAsia="굴림" w:hAnsi="굴림" w:cs="굴림" w:hint="cs"/>
          <w:kern w:val="0"/>
          <w:sz w:val="24"/>
          <w:szCs w:val="24"/>
          <w:rtl/>
          <w:lang w:bidi="ar"/>
        </w:rPr>
        <w:br/>
      </w:r>
      <w:hyperlink r:id="rId10" w:tgtFrame="_top" w:history="1">
        <w:r w:rsidRPr="0068672F">
          <w:rPr>
            <w:rFonts w:ascii="굴림" w:eastAsia="굴림" w:hAnsi="굴림" w:cs="Times New Roman" w:hint="cs"/>
            <w:color w:val="0000FF"/>
            <w:kern w:val="0"/>
            <w:sz w:val="24"/>
            <w:szCs w:val="24"/>
            <w:u w:val="single"/>
            <w:rtl/>
          </w:rPr>
          <w:t>مادة (10)</w:t>
        </w:r>
      </w:hyperlink>
      <w:r w:rsidRPr="0068672F">
        <w:rPr>
          <w:rFonts w:ascii="굴림" w:eastAsia="굴림" w:hAnsi="굴림" w:cs="Times New Roman" w:hint="cs"/>
          <w:kern w:val="0"/>
          <w:sz w:val="24"/>
          <w:szCs w:val="24"/>
          <w:rtl/>
          <w:lang w:bidi="ar"/>
        </w:rPr>
        <w:t>:</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lang w:bidi="ar"/>
        </w:rPr>
        <w:t xml:space="preserve">«1- </w:t>
      </w:r>
      <w:r w:rsidRPr="0068672F">
        <w:rPr>
          <w:rFonts w:ascii="굴림" w:eastAsia="굴림" w:hAnsi="굴림" w:cs="Times New Roman" w:hint="cs"/>
          <w:kern w:val="0"/>
          <w:sz w:val="24"/>
          <w:szCs w:val="24"/>
          <w:rtl/>
        </w:rPr>
        <w:t>يلتزم الوكيل أو الوسيط باستيراد الأدوية المسجلة التي تشملها الوكالة من بلد المنشأ، ومع مراعاة أحكام</w:t>
      </w:r>
      <w:r w:rsidRPr="0068672F">
        <w:rPr>
          <w:rFonts w:ascii="굴림" w:eastAsia="굴림" w:hAnsi="굴림" w:cs="Times New Roman" w:hint="cs"/>
          <w:kern w:val="0"/>
          <w:sz w:val="24"/>
          <w:szCs w:val="24"/>
          <w:rtl/>
          <w:lang w:bidi="ar"/>
        </w:rPr>
        <w:t xml:space="preserve"> </w:t>
      </w:r>
      <w:hyperlink r:id="rId11" w:tgtFrame="_top" w:history="1">
        <w:r w:rsidRPr="0068672F">
          <w:rPr>
            <w:rFonts w:ascii="굴림" w:eastAsia="굴림" w:hAnsi="굴림" w:cs="Times New Roman" w:hint="cs"/>
            <w:color w:val="0000FF"/>
            <w:kern w:val="0"/>
            <w:sz w:val="24"/>
            <w:szCs w:val="24"/>
            <w:u w:val="single"/>
            <w:rtl/>
          </w:rPr>
          <w:t>القانون رقم (3) لسنة 1983</w:t>
        </w:r>
      </w:hyperlink>
      <w:r w:rsidRPr="0068672F">
        <w:rPr>
          <w:rFonts w:ascii="굴림" w:eastAsia="굴림" w:hAnsi="굴림" w:cs="Times New Roman" w:hint="cs"/>
          <w:kern w:val="0"/>
          <w:sz w:val="24"/>
          <w:szCs w:val="24"/>
          <w:rtl/>
          <w:lang w:bidi="ar"/>
        </w:rPr>
        <w:t xml:space="preserve"> </w:t>
      </w:r>
      <w:r w:rsidRPr="0068672F">
        <w:rPr>
          <w:rFonts w:ascii="굴림" w:eastAsia="굴림" w:hAnsi="굴림" w:cs="Times New Roman" w:hint="cs"/>
          <w:kern w:val="0"/>
          <w:sz w:val="24"/>
          <w:szCs w:val="24"/>
          <w:rtl/>
        </w:rPr>
        <w:t>المشار إليه، لا يجوز لغير الوكيل أو الوسيط استيراد الأدوية التي تشملها الوكالة إلا بعد الحصول على إذن خاص بذلك من إدارة الصيدلة والرقابة الدوائية، بناء على طلب يقدمه صيدلي أو صاحب مخزن للأدوية للإدارة المذكورة.</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lang w:bidi="ar"/>
        </w:rPr>
        <w:t xml:space="preserve">2- </w:t>
      </w:r>
      <w:r w:rsidRPr="0068672F">
        <w:rPr>
          <w:rFonts w:ascii="굴림" w:eastAsia="굴림" w:hAnsi="굴림" w:cs="Times New Roman" w:hint="cs"/>
          <w:kern w:val="0"/>
          <w:sz w:val="24"/>
          <w:szCs w:val="24"/>
          <w:rtl/>
        </w:rPr>
        <w:t>لا يمنح الإذن إلا بعد أن تتحقق الإدارة المشار إليها من توافر إحدى الحالتين التاليتين:</w:t>
      </w:r>
      <w:r w:rsidRPr="0068672F">
        <w:rPr>
          <w:rFonts w:ascii="굴림" w:eastAsia="굴림" w:hAnsi="굴림" w:cs="Times New Roman" w:hint="cs"/>
          <w:kern w:val="0"/>
          <w:sz w:val="24"/>
          <w:szCs w:val="24"/>
          <w:rtl/>
          <w:lang w:bidi="ar"/>
        </w:rPr>
        <w:t xml:space="preserve"> </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rPr>
        <w:t>أ- تقصير الوكيل أو الوسيط في توفير الأدوية التي تشملها الوكالة.</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rPr>
        <w:t>ب- امتناع الوكيل أو الوسيط عن بيع الأدوية إلى الصيدليات ومخازن الأدوية والمستشفيات والمستوصفات.</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lang w:bidi="ar"/>
        </w:rPr>
        <w:t xml:space="preserve">3- </w:t>
      </w:r>
      <w:r w:rsidRPr="0068672F">
        <w:rPr>
          <w:rFonts w:ascii="굴림" w:eastAsia="굴림" w:hAnsi="굴림" w:cs="Times New Roman" w:hint="cs"/>
          <w:kern w:val="0"/>
          <w:sz w:val="24"/>
          <w:szCs w:val="24"/>
          <w:rtl/>
        </w:rPr>
        <w:t>يمنح إذن الإستيراد لمرة واحدة ما لم يستمر توافر إحدى الحالتين المنصوص عليهما في البند السابق».</w:t>
      </w:r>
      <w:r w:rsidRPr="0068672F">
        <w:rPr>
          <w:rFonts w:ascii="굴림" w:eastAsia="굴림" w:hAnsi="굴림" w:cs="굴림" w:hint="cs"/>
          <w:kern w:val="0"/>
          <w:sz w:val="24"/>
          <w:szCs w:val="24"/>
          <w:rtl/>
          <w:lang w:bidi="ar"/>
        </w:rPr>
        <w:br/>
      </w:r>
      <w:r w:rsidRPr="0068672F">
        <w:rPr>
          <w:rFonts w:ascii="굴림" w:eastAsia="굴림" w:hAnsi="굴림" w:cs="굴림" w:hint="cs"/>
          <w:kern w:val="0"/>
          <w:sz w:val="24"/>
          <w:szCs w:val="24"/>
          <w:rtl/>
          <w:lang w:bidi="ar"/>
        </w:rPr>
        <w:br/>
      </w:r>
      <w:hyperlink r:id="rId12" w:tgtFrame="_top" w:history="1">
        <w:r w:rsidRPr="0068672F">
          <w:rPr>
            <w:rFonts w:ascii="굴림" w:eastAsia="굴림" w:hAnsi="굴림" w:cs="Times New Roman" w:hint="cs"/>
            <w:color w:val="0000FF"/>
            <w:kern w:val="0"/>
            <w:sz w:val="24"/>
            <w:szCs w:val="24"/>
            <w:u w:val="single"/>
            <w:rtl/>
          </w:rPr>
          <w:t>مادة (13)</w:t>
        </w:r>
      </w:hyperlink>
      <w:r w:rsidRPr="0068672F">
        <w:rPr>
          <w:rFonts w:ascii="굴림" w:eastAsia="굴림" w:hAnsi="굴림" w:cs="Times New Roman" w:hint="cs"/>
          <w:kern w:val="0"/>
          <w:sz w:val="24"/>
          <w:szCs w:val="24"/>
          <w:rtl/>
          <w:lang w:bidi="ar"/>
        </w:rPr>
        <w:t xml:space="preserve"> </w:t>
      </w:r>
      <w:r w:rsidRPr="0068672F">
        <w:rPr>
          <w:rFonts w:ascii="굴림" w:eastAsia="굴림" w:hAnsi="굴림" w:cs="Times New Roman" w:hint="cs"/>
          <w:kern w:val="0"/>
          <w:sz w:val="24"/>
          <w:szCs w:val="24"/>
          <w:rtl/>
        </w:rPr>
        <w:t>فقرة أولى:</w:t>
      </w:r>
      <w:r w:rsidRPr="0068672F">
        <w:rPr>
          <w:rFonts w:ascii="굴림" w:eastAsia="굴림" w:hAnsi="굴림" w:cs="굴림" w:hint="cs"/>
          <w:kern w:val="0"/>
          <w:sz w:val="24"/>
          <w:szCs w:val="24"/>
          <w:rtl/>
          <w:lang w:bidi="ar"/>
        </w:rPr>
        <w:br/>
      </w:r>
      <w:r w:rsidRPr="0068672F">
        <w:rPr>
          <w:rFonts w:ascii="굴림" w:eastAsia="굴림" w:hAnsi="굴림" w:cs="Times New Roman" w:hint="cs"/>
          <w:kern w:val="0"/>
          <w:sz w:val="24"/>
          <w:szCs w:val="24"/>
          <w:rtl/>
          <w:lang w:bidi="ar"/>
        </w:rPr>
        <w:t xml:space="preserve">«1- </w:t>
      </w:r>
      <w:r w:rsidRPr="0068672F">
        <w:rPr>
          <w:rFonts w:ascii="굴림" w:eastAsia="굴림" w:hAnsi="굴림" w:cs="Times New Roman" w:hint="cs"/>
          <w:kern w:val="0"/>
          <w:sz w:val="24"/>
          <w:szCs w:val="24"/>
          <w:rtl/>
        </w:rPr>
        <w:t>أصحاب شركات الأدوية والقائمين على إدارتها ووكلائها ووسطائها والمستوردين إذا مارست الشركة نشاطها بدولة قطر دون أن تكون مقيدة بالسجل المعد لذلك».</w:t>
      </w:r>
    </w:p>
    <w:p w:rsidR="0068672F" w:rsidRPr="0068672F" w:rsidRDefault="0068672F" w:rsidP="0068672F">
      <w:pPr>
        <w:widowControl/>
        <w:numPr>
          <w:ilvl w:val="0"/>
          <w:numId w:val="2"/>
        </w:numPr>
        <w:wordWrap/>
        <w:autoSpaceDE/>
        <w:autoSpaceDN/>
        <w:bidi/>
        <w:spacing w:before="100" w:beforeAutospacing="1" w:after="100" w:afterAutospacing="1" w:line="360" w:lineRule="auto"/>
        <w:jc w:val="left"/>
        <w:outlineLvl w:val="3"/>
        <w:rPr>
          <w:rFonts w:ascii="굴림" w:eastAsia="굴림" w:hAnsi="굴림" w:cs="굴림" w:hint="cs"/>
          <w:b/>
          <w:bCs/>
          <w:color w:val="900C51"/>
          <w:kern w:val="0"/>
          <w:sz w:val="24"/>
          <w:szCs w:val="24"/>
          <w:rtl/>
          <w:lang w:bidi="ar"/>
        </w:rPr>
      </w:pPr>
      <w:hyperlink r:id="rId13" w:history="1">
        <w:r w:rsidRPr="0068672F">
          <w:rPr>
            <w:rFonts w:ascii="굴림" w:eastAsia="굴림" w:hAnsi="굴림" w:cs="Times New Roman" w:hint="cs"/>
            <w:b/>
            <w:bCs/>
            <w:color w:val="900C51"/>
            <w:kern w:val="0"/>
            <w:sz w:val="24"/>
            <w:szCs w:val="24"/>
            <w:u w:val="single"/>
            <w:rtl/>
          </w:rPr>
          <w:t>المادة</w:t>
        </w:r>
        <w:r w:rsidRPr="0068672F">
          <w:rPr>
            <w:rFonts w:ascii="굴림" w:eastAsia="굴림" w:hAnsi="굴림" w:cs="Times New Roman" w:hint="cs"/>
            <w:b/>
            <w:bCs/>
            <w:color w:val="900C51"/>
            <w:kern w:val="0"/>
            <w:sz w:val="24"/>
            <w:szCs w:val="24"/>
            <w:u w:val="single"/>
            <w:rtl/>
            <w:lang w:bidi="ar"/>
          </w:rPr>
          <w:t xml:space="preserve"> 2 </w:t>
        </w:r>
      </w:hyperlink>
    </w:p>
    <w:p w:rsidR="0068672F" w:rsidRPr="0068672F" w:rsidRDefault="0068672F" w:rsidP="0068672F">
      <w:pPr>
        <w:widowControl/>
        <w:wordWrap/>
        <w:autoSpaceDE/>
        <w:autoSpaceDN/>
        <w:bidi/>
        <w:spacing w:before="100" w:beforeAutospacing="1" w:after="100" w:afterAutospacing="1" w:line="360" w:lineRule="auto"/>
        <w:ind w:left="720"/>
        <w:jc w:val="left"/>
        <w:rPr>
          <w:rFonts w:ascii="굴림" w:eastAsia="굴림" w:hAnsi="굴림" w:cs="굴림" w:hint="cs"/>
          <w:kern w:val="0"/>
          <w:sz w:val="24"/>
          <w:szCs w:val="24"/>
          <w:rtl/>
          <w:lang w:bidi="ar"/>
        </w:rPr>
      </w:pPr>
      <w:r w:rsidRPr="0068672F">
        <w:rPr>
          <w:rFonts w:ascii="굴림" w:eastAsia="굴림" w:hAnsi="굴림" w:cs="Times New Roman" w:hint="cs"/>
          <w:kern w:val="0"/>
          <w:sz w:val="24"/>
          <w:szCs w:val="24"/>
          <w:rtl/>
        </w:rPr>
        <w:t>يلغى كل حكم يخالف أحكام هذا القانون.</w:t>
      </w:r>
    </w:p>
    <w:p w:rsidR="0068672F" w:rsidRPr="0068672F" w:rsidRDefault="0068672F" w:rsidP="0068672F">
      <w:pPr>
        <w:widowControl/>
        <w:numPr>
          <w:ilvl w:val="0"/>
          <w:numId w:val="2"/>
        </w:numPr>
        <w:wordWrap/>
        <w:autoSpaceDE/>
        <w:autoSpaceDN/>
        <w:bidi/>
        <w:spacing w:before="100" w:beforeAutospacing="1" w:after="100" w:afterAutospacing="1" w:line="360" w:lineRule="auto"/>
        <w:jc w:val="left"/>
        <w:outlineLvl w:val="3"/>
        <w:rPr>
          <w:rFonts w:ascii="굴림" w:eastAsia="굴림" w:hAnsi="굴림" w:cs="굴림" w:hint="cs"/>
          <w:b/>
          <w:bCs/>
          <w:color w:val="900C51"/>
          <w:kern w:val="0"/>
          <w:sz w:val="24"/>
          <w:szCs w:val="24"/>
          <w:rtl/>
          <w:lang w:bidi="ar"/>
        </w:rPr>
      </w:pPr>
      <w:hyperlink r:id="rId14" w:history="1">
        <w:r w:rsidRPr="0068672F">
          <w:rPr>
            <w:rFonts w:ascii="굴림" w:eastAsia="굴림" w:hAnsi="굴림" w:cs="Times New Roman" w:hint="cs"/>
            <w:b/>
            <w:bCs/>
            <w:color w:val="900C51"/>
            <w:kern w:val="0"/>
            <w:sz w:val="24"/>
            <w:szCs w:val="24"/>
            <w:u w:val="single"/>
            <w:rtl/>
          </w:rPr>
          <w:t>المادة</w:t>
        </w:r>
        <w:r w:rsidRPr="0068672F">
          <w:rPr>
            <w:rFonts w:ascii="굴림" w:eastAsia="굴림" w:hAnsi="굴림" w:cs="Times New Roman" w:hint="cs"/>
            <w:b/>
            <w:bCs/>
            <w:color w:val="900C51"/>
            <w:kern w:val="0"/>
            <w:sz w:val="24"/>
            <w:szCs w:val="24"/>
            <w:u w:val="single"/>
            <w:rtl/>
            <w:lang w:bidi="ar"/>
          </w:rPr>
          <w:t xml:space="preserve"> 3 </w:t>
        </w:r>
      </w:hyperlink>
    </w:p>
    <w:p w:rsidR="0068672F" w:rsidRPr="0068672F" w:rsidRDefault="0068672F" w:rsidP="0068672F">
      <w:pPr>
        <w:widowControl/>
        <w:wordWrap/>
        <w:autoSpaceDE/>
        <w:autoSpaceDN/>
        <w:bidi/>
        <w:spacing w:before="100" w:beforeAutospacing="1" w:after="100" w:afterAutospacing="1" w:line="360" w:lineRule="auto"/>
        <w:ind w:left="720"/>
        <w:jc w:val="left"/>
        <w:rPr>
          <w:rFonts w:ascii="굴림" w:eastAsia="굴림" w:hAnsi="굴림" w:cs="굴림" w:hint="cs"/>
          <w:kern w:val="0"/>
          <w:sz w:val="24"/>
          <w:szCs w:val="24"/>
          <w:rtl/>
          <w:lang w:bidi="ar"/>
        </w:rPr>
      </w:pPr>
      <w:r w:rsidRPr="0068672F">
        <w:rPr>
          <w:rFonts w:ascii="굴림" w:eastAsia="굴림" w:hAnsi="굴림" w:cs="Times New Roman" w:hint="cs"/>
          <w:kern w:val="0"/>
          <w:sz w:val="24"/>
          <w:szCs w:val="24"/>
          <w:rtl/>
        </w:rPr>
        <w:t>على جميع الجهات المختصة، كل فيما يخصه، تنفيذ هذا القانون. ويعمل به بعد ثلاثين يوماً من تاريخ نشره في الجريدة الرسمية.</w:t>
      </w:r>
    </w:p>
    <w:p w:rsidR="0068672F" w:rsidRPr="0068672F" w:rsidRDefault="0068672F" w:rsidP="0068672F">
      <w:pPr>
        <w:bidi/>
        <w:spacing w:line="360" w:lineRule="auto"/>
        <w:jc w:val="left"/>
        <w:rPr>
          <w:b/>
          <w:bCs/>
          <w:sz w:val="24"/>
          <w:szCs w:val="24"/>
          <w:lang w:val="en" w:bidi="ar"/>
        </w:rPr>
      </w:pPr>
    </w:p>
    <w:p w:rsidR="0068672F" w:rsidRPr="0068672F" w:rsidRDefault="0068672F" w:rsidP="0068672F">
      <w:pPr>
        <w:bidi/>
        <w:spacing w:line="360" w:lineRule="auto"/>
        <w:jc w:val="left"/>
        <w:rPr>
          <w:rFonts w:hint="eastAsia"/>
          <w:sz w:val="24"/>
          <w:szCs w:val="24"/>
        </w:rPr>
      </w:pPr>
    </w:p>
    <w:sectPr w:rsidR="0068672F" w:rsidRPr="006867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69A"/>
    <w:multiLevelType w:val="multilevel"/>
    <w:tmpl w:val="0F36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63A50"/>
    <w:multiLevelType w:val="multilevel"/>
    <w:tmpl w:val="A3F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E"/>
    <w:rsid w:val="004C41F8"/>
    <w:rsid w:val="0068672F"/>
    <w:rsid w:val="007A5A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F98D"/>
  <w15:chartTrackingRefBased/>
  <w15:docId w15:val="{1950BE64-9307-462D-858D-24DA30FA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9526">
      <w:bodyDiv w:val="1"/>
      <w:marLeft w:val="0"/>
      <w:marRight w:val="0"/>
      <w:marTop w:val="0"/>
      <w:marBottom w:val="0"/>
      <w:divBdr>
        <w:top w:val="none" w:sz="0" w:space="0" w:color="auto"/>
        <w:left w:val="none" w:sz="0" w:space="0" w:color="auto"/>
        <w:bottom w:val="none" w:sz="0" w:space="0" w:color="auto"/>
        <w:right w:val="none" w:sz="0" w:space="0" w:color="auto"/>
      </w:divBdr>
      <w:divsChild>
        <w:div w:id="412044668">
          <w:marLeft w:val="0"/>
          <w:marRight w:val="0"/>
          <w:marTop w:val="0"/>
          <w:marBottom w:val="0"/>
          <w:divBdr>
            <w:top w:val="none" w:sz="0" w:space="0" w:color="auto"/>
            <w:left w:val="none" w:sz="0" w:space="0" w:color="auto"/>
            <w:bottom w:val="none" w:sz="0" w:space="0" w:color="auto"/>
            <w:right w:val="none" w:sz="0" w:space="0" w:color="auto"/>
          </w:divBdr>
          <w:divsChild>
            <w:div w:id="847335230">
              <w:marLeft w:val="0"/>
              <w:marRight w:val="0"/>
              <w:marTop w:val="0"/>
              <w:marBottom w:val="0"/>
              <w:divBdr>
                <w:top w:val="none" w:sz="0" w:space="0" w:color="auto"/>
                <w:left w:val="none" w:sz="0" w:space="0" w:color="auto"/>
                <w:bottom w:val="none" w:sz="0" w:space="0" w:color="auto"/>
                <w:right w:val="none" w:sz="0" w:space="0" w:color="auto"/>
              </w:divBdr>
              <w:divsChild>
                <w:div w:id="745499256">
                  <w:marLeft w:val="0"/>
                  <w:marRight w:val="0"/>
                  <w:marTop w:val="0"/>
                  <w:marBottom w:val="0"/>
                  <w:divBdr>
                    <w:top w:val="none" w:sz="0" w:space="0" w:color="auto"/>
                    <w:left w:val="none" w:sz="0" w:space="0" w:color="auto"/>
                    <w:bottom w:val="none" w:sz="0" w:space="0" w:color="auto"/>
                    <w:right w:val="none" w:sz="0" w:space="0" w:color="auto"/>
                  </w:divBdr>
                  <w:divsChild>
                    <w:div w:id="1380981573">
                      <w:marLeft w:val="0"/>
                      <w:marRight w:val="0"/>
                      <w:marTop w:val="0"/>
                      <w:marBottom w:val="0"/>
                      <w:divBdr>
                        <w:top w:val="none" w:sz="0" w:space="0" w:color="auto"/>
                        <w:left w:val="none" w:sz="0" w:space="0" w:color="auto"/>
                        <w:bottom w:val="none" w:sz="0" w:space="0" w:color="auto"/>
                        <w:right w:val="none" w:sz="0" w:space="0" w:color="auto"/>
                      </w:divBdr>
                      <w:divsChild>
                        <w:div w:id="253632663">
                          <w:marLeft w:val="0"/>
                          <w:marRight w:val="0"/>
                          <w:marTop w:val="0"/>
                          <w:marBottom w:val="0"/>
                          <w:divBdr>
                            <w:top w:val="none" w:sz="0" w:space="0" w:color="auto"/>
                            <w:left w:val="none" w:sz="0" w:space="0" w:color="auto"/>
                            <w:bottom w:val="none" w:sz="0" w:space="0" w:color="auto"/>
                            <w:right w:val="none" w:sz="0" w:space="0" w:color="auto"/>
                          </w:divBdr>
                          <w:divsChild>
                            <w:div w:id="312412024">
                              <w:marLeft w:val="0"/>
                              <w:marRight w:val="0"/>
                              <w:marTop w:val="0"/>
                              <w:marBottom w:val="0"/>
                              <w:divBdr>
                                <w:top w:val="none" w:sz="0" w:space="0" w:color="auto"/>
                                <w:left w:val="none" w:sz="0" w:space="0" w:color="auto"/>
                                <w:bottom w:val="none" w:sz="0" w:space="0" w:color="auto"/>
                                <w:right w:val="none" w:sz="0" w:space="0" w:color="auto"/>
                              </w:divBdr>
                              <w:divsChild>
                                <w:div w:id="968243997">
                                  <w:marLeft w:val="0"/>
                                  <w:marRight w:val="0"/>
                                  <w:marTop w:val="0"/>
                                  <w:marBottom w:val="0"/>
                                  <w:divBdr>
                                    <w:top w:val="none" w:sz="0" w:space="0" w:color="auto"/>
                                    <w:left w:val="none" w:sz="0" w:space="0" w:color="auto"/>
                                    <w:bottom w:val="none" w:sz="0" w:space="0" w:color="auto"/>
                                    <w:right w:val="none" w:sz="0" w:space="0" w:color="auto"/>
                                  </w:divBdr>
                                </w:div>
                                <w:div w:id="312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87347">
      <w:bodyDiv w:val="1"/>
      <w:marLeft w:val="0"/>
      <w:marRight w:val="0"/>
      <w:marTop w:val="0"/>
      <w:marBottom w:val="0"/>
      <w:divBdr>
        <w:top w:val="none" w:sz="0" w:space="0" w:color="auto"/>
        <w:left w:val="none" w:sz="0" w:space="0" w:color="auto"/>
        <w:bottom w:val="none" w:sz="0" w:space="0" w:color="auto"/>
        <w:right w:val="none" w:sz="0" w:space="0" w:color="auto"/>
      </w:divBdr>
      <w:divsChild>
        <w:div w:id="2095931745">
          <w:marLeft w:val="0"/>
          <w:marRight w:val="0"/>
          <w:marTop w:val="0"/>
          <w:marBottom w:val="0"/>
          <w:divBdr>
            <w:top w:val="none" w:sz="0" w:space="0" w:color="auto"/>
            <w:left w:val="none" w:sz="0" w:space="0" w:color="auto"/>
            <w:bottom w:val="none" w:sz="0" w:space="0" w:color="auto"/>
            <w:right w:val="none" w:sz="0" w:space="0" w:color="auto"/>
          </w:divBdr>
          <w:divsChild>
            <w:div w:id="1677268440">
              <w:marLeft w:val="0"/>
              <w:marRight w:val="0"/>
              <w:marTop w:val="0"/>
              <w:marBottom w:val="0"/>
              <w:divBdr>
                <w:top w:val="none" w:sz="0" w:space="0" w:color="auto"/>
                <w:left w:val="none" w:sz="0" w:space="0" w:color="auto"/>
                <w:bottom w:val="none" w:sz="0" w:space="0" w:color="auto"/>
                <w:right w:val="none" w:sz="0" w:space="0" w:color="auto"/>
              </w:divBdr>
              <w:divsChild>
                <w:div w:id="677848586">
                  <w:marLeft w:val="0"/>
                  <w:marRight w:val="0"/>
                  <w:marTop w:val="0"/>
                  <w:marBottom w:val="0"/>
                  <w:divBdr>
                    <w:top w:val="none" w:sz="0" w:space="0" w:color="auto"/>
                    <w:left w:val="none" w:sz="0" w:space="0" w:color="auto"/>
                    <w:bottom w:val="none" w:sz="0" w:space="0" w:color="auto"/>
                    <w:right w:val="none" w:sz="0" w:space="0" w:color="auto"/>
                  </w:divBdr>
                  <w:divsChild>
                    <w:div w:id="1337463567">
                      <w:marLeft w:val="0"/>
                      <w:marRight w:val="0"/>
                      <w:marTop w:val="0"/>
                      <w:marBottom w:val="0"/>
                      <w:divBdr>
                        <w:top w:val="none" w:sz="0" w:space="0" w:color="auto"/>
                        <w:left w:val="none" w:sz="0" w:space="0" w:color="auto"/>
                        <w:bottom w:val="none" w:sz="0" w:space="0" w:color="auto"/>
                        <w:right w:val="none" w:sz="0" w:space="0" w:color="auto"/>
                      </w:divBdr>
                      <w:divsChild>
                        <w:div w:id="1707681593">
                          <w:marLeft w:val="0"/>
                          <w:marRight w:val="0"/>
                          <w:marTop w:val="0"/>
                          <w:marBottom w:val="0"/>
                          <w:divBdr>
                            <w:top w:val="none" w:sz="0" w:space="0" w:color="auto"/>
                            <w:left w:val="none" w:sz="0" w:space="0" w:color="auto"/>
                            <w:bottom w:val="none" w:sz="0" w:space="0" w:color="auto"/>
                            <w:right w:val="none" w:sz="0" w:space="0" w:color="auto"/>
                          </w:divBdr>
                          <w:divsChild>
                            <w:div w:id="557254062">
                              <w:marLeft w:val="0"/>
                              <w:marRight w:val="0"/>
                              <w:marTop w:val="0"/>
                              <w:marBottom w:val="0"/>
                              <w:divBdr>
                                <w:top w:val="none" w:sz="0" w:space="0" w:color="auto"/>
                                <w:left w:val="none" w:sz="0" w:space="0" w:color="auto"/>
                                <w:bottom w:val="none" w:sz="0" w:space="0" w:color="auto"/>
                                <w:right w:val="none" w:sz="0" w:space="0" w:color="auto"/>
                              </w:divBdr>
                              <w:divsChild>
                                <w:div w:id="1078480243">
                                  <w:marLeft w:val="0"/>
                                  <w:marRight w:val="0"/>
                                  <w:marTop w:val="0"/>
                                  <w:marBottom w:val="0"/>
                                  <w:divBdr>
                                    <w:top w:val="none" w:sz="0" w:space="0" w:color="auto"/>
                                    <w:left w:val="none" w:sz="0" w:space="0" w:color="auto"/>
                                    <w:bottom w:val="none" w:sz="0" w:space="0" w:color="auto"/>
                                    <w:right w:val="none" w:sz="0" w:space="0" w:color="auto"/>
                                  </w:divBdr>
                                </w:div>
                                <w:div w:id="919214069">
                                  <w:marLeft w:val="0"/>
                                  <w:marRight w:val="0"/>
                                  <w:marTop w:val="0"/>
                                  <w:marBottom w:val="0"/>
                                  <w:divBdr>
                                    <w:top w:val="none" w:sz="0" w:space="0" w:color="auto"/>
                                    <w:left w:val="none" w:sz="0" w:space="0" w:color="auto"/>
                                    <w:bottom w:val="none" w:sz="0" w:space="0" w:color="auto"/>
                                    <w:right w:val="none" w:sz="0" w:space="0" w:color="auto"/>
                                  </w:divBdr>
                                  <w:divsChild>
                                    <w:div w:id="911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ezan.qa/LawArticles.aspx?LawArticleID=5740&amp;LawID=149&amp;language=ar" TargetMode="External"/><Relationship Id="rId13" Type="http://schemas.openxmlformats.org/officeDocument/2006/relationships/hyperlink" Target="http://www.almeezan.qa/LawArticles.aspx?LawArticleID=9071&amp;LawID=252&amp;language=ar" TargetMode="External"/><Relationship Id="rId3" Type="http://schemas.openxmlformats.org/officeDocument/2006/relationships/settings" Target="settings.xml"/><Relationship Id="rId7" Type="http://schemas.openxmlformats.org/officeDocument/2006/relationships/hyperlink" Target="http://www.almeezan.qa/LawArticles.aspx?LawArticleID=5736&amp;LawID=149&amp;language=ar" TargetMode="External"/><Relationship Id="rId12" Type="http://schemas.openxmlformats.org/officeDocument/2006/relationships/hyperlink" Target="http://www.almeezan.qa/LawArticles.aspx?LawArticleID=5740&amp;LawID=149&amp;languag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meezan.qa/LawArticles.aspx?LawArticleID=5734&amp;LawID=149&amp;language=ar" TargetMode="External"/><Relationship Id="rId11" Type="http://schemas.openxmlformats.org/officeDocument/2006/relationships/hyperlink" Target="http://www.almeezan.qa/LawPage.aspx?id=302&amp;language=ar" TargetMode="External"/><Relationship Id="rId5" Type="http://schemas.openxmlformats.org/officeDocument/2006/relationships/hyperlink" Target="http://www.almeezan.qa/LawArticles.aspx?LawArticleID=9070&amp;LawID=252&amp;language=ar" TargetMode="External"/><Relationship Id="rId15" Type="http://schemas.openxmlformats.org/officeDocument/2006/relationships/fontTable" Target="fontTable.xml"/><Relationship Id="rId10" Type="http://schemas.openxmlformats.org/officeDocument/2006/relationships/hyperlink" Target="http://www.almeezan.qa/LawArticles.aspx?LawArticleID=5736&amp;LawID=149&amp;language=ar" TargetMode="External"/><Relationship Id="rId4" Type="http://schemas.openxmlformats.org/officeDocument/2006/relationships/webSettings" Target="webSettings.xml"/><Relationship Id="rId9" Type="http://schemas.openxmlformats.org/officeDocument/2006/relationships/hyperlink" Target="http://www.almeezan.qa/LawArticles.aspx?LawArticleID=5734&amp;LawID=149&amp;language=ar" TargetMode="External"/><Relationship Id="rId14" Type="http://schemas.openxmlformats.org/officeDocument/2006/relationships/hyperlink" Target="http://www.almeezan.qa/LawArticles.aspx?LawArticleID=9072&amp;LawID=252&amp;language=a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2018-07-31T04:32:00Z</dcterms:created>
  <dcterms:modified xsi:type="dcterms:W3CDTF">2018-07-31T04:32:00Z</dcterms:modified>
</cp:coreProperties>
</file>