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FE" w:rsidRDefault="002E72FE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Pr="0005394D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D63D40">
        <w:rPr>
          <w:rFonts w:ascii="한컴바탕" w:eastAsia="한컴바탕" w:hAnsi="한컴바탕" w:cs="한컴바탕" w:hint="eastAsia"/>
          <w:b/>
          <w:sz w:val="40"/>
          <w:szCs w:val="40"/>
        </w:rPr>
        <w:t>제</w:t>
      </w:r>
      <w:r w:rsidR="007A5496">
        <w:rPr>
          <w:rFonts w:ascii="한컴바탕" w:eastAsia="한컴바탕" w:hAnsi="한컴바탕" w:cs="한컴바탕" w:hint="eastAsia"/>
          <w:b/>
          <w:sz w:val="40"/>
          <w:szCs w:val="40"/>
        </w:rPr>
        <w:t>73</w:t>
      </w:r>
      <w:r w:rsidR="00D63D40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장 </w:t>
      </w:r>
      <w:r w:rsidR="007A5496">
        <w:rPr>
          <w:rFonts w:ascii="한컴바탕" w:eastAsia="한컴바탕" w:hAnsi="한컴바탕" w:cs="한컴바탕" w:hint="eastAsia"/>
          <w:b/>
          <w:sz w:val="40"/>
          <w:szCs w:val="40"/>
        </w:rPr>
        <w:t>무유언 유산</w:t>
      </w:r>
      <w:r w:rsidR="00D63D40" w:rsidRPr="00D63D40">
        <w:rPr>
          <w:rFonts w:ascii="한컴바탕" w:eastAsia="한컴바탕" w:hAnsi="한컴바탕" w:cs="한컴바탕"/>
          <w:b/>
          <w:sz w:val="40"/>
          <w:szCs w:val="40"/>
        </w:rPr>
        <w:t xml:space="preserve"> 조례</w:t>
      </w:r>
      <w:r w:rsidR="004E522F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제1조-제3조</w:t>
      </w: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FB3189" w:rsidRPr="00595A67" w:rsidRDefault="00FB3189" w:rsidP="003D512F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D63D40">
        <w:rPr>
          <w:rFonts w:ascii="한컴바탕" w:eastAsia="한컴바탕" w:hAnsi="한컴바탕" w:cs="한컴바탕" w:hint="eastAsia"/>
          <w:sz w:val="28"/>
          <w:szCs w:val="28"/>
        </w:rPr>
        <w:t>법률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  <w:r w:rsidR="001C59F5">
        <w:rPr>
          <w:rFonts w:ascii="한컴바탕" w:eastAsia="한컴바탕" w:hAnsi="한컴바탕" w:cs="한컴바탕" w:hint="eastAsia"/>
          <w:sz w:val="28"/>
          <w:szCs w:val="28"/>
        </w:rPr>
        <w:t>2006.2.11.</w:t>
      </w:r>
      <w:r>
        <w:rPr>
          <w:rFonts w:ascii="한컴바탕" w:eastAsia="한컴바탕" w:hAnsi="한컴바탕" w:cs="한컴바탕" w:hint="eastAsia"/>
          <w:sz w:val="28"/>
          <w:szCs w:val="28"/>
        </w:rPr>
        <w:t xml:space="preserve">, </w:t>
      </w:r>
      <w:r w:rsidR="001C59F5">
        <w:rPr>
          <w:rFonts w:ascii="한컴바탕" w:eastAsia="한컴바탕" w:hAnsi="한컴바탕" w:cs="한컴바탕" w:hint="eastAsia"/>
          <w:sz w:val="28"/>
          <w:szCs w:val="28"/>
        </w:rPr>
        <w:t>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FB3189" w:rsidRPr="00397C5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p w:rsidR="00FB3189" w:rsidRDefault="00FB3189" w:rsidP="003D512F">
      <w:pPr>
        <w:spacing w:after="0" w:line="360" w:lineRule="auto"/>
        <w:rPr>
          <w:rFonts w:ascii="한컴바탕" w:eastAsia="한컴바탕" w:hAnsi="한컴바탕" w:cs="한컴바탕"/>
          <w:sz w:val="28"/>
          <w:szCs w:val="3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649"/>
      </w:tblGrid>
      <w:tr w:rsidR="00D63D40" w:rsidRPr="00BA31FB" w:rsidTr="002E72FE">
        <w:trPr>
          <w:trHeight w:val="680"/>
        </w:trPr>
        <w:tc>
          <w:tcPr>
            <w:tcW w:w="4535" w:type="dxa"/>
            <w:vAlign w:val="center"/>
          </w:tcPr>
          <w:p w:rsidR="00D63D40" w:rsidRPr="00BA31FB" w:rsidRDefault="00D63D40" w:rsidP="002E72FE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49" w:type="dxa"/>
            <w:vAlign w:val="center"/>
          </w:tcPr>
          <w:p w:rsidR="00D63D40" w:rsidRPr="00BA31FB" w:rsidRDefault="00D63D40" w:rsidP="002E72FE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D63D40" w:rsidRPr="007C6770" w:rsidTr="003704D8">
        <w:trPr>
          <w:trHeight w:val="656"/>
        </w:trPr>
        <w:tc>
          <w:tcPr>
            <w:tcW w:w="4535" w:type="dxa"/>
            <w:tcMar>
              <w:top w:w="170" w:type="dxa"/>
              <w:bottom w:w="170" w:type="dxa"/>
            </w:tcMar>
          </w:tcPr>
          <w:p w:rsidR="006F1128" w:rsidRPr="006F1128" w:rsidRDefault="006F1128" w:rsidP="006F112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1. 簡稱</w:t>
            </w:r>
          </w:p>
          <w:p w:rsidR="006F1128" w:rsidRPr="006F1128" w:rsidRDefault="006F1128" w:rsidP="006F112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本條例可引稱為《無遺囑者遺產條例》。</w:t>
            </w:r>
          </w:p>
          <w:p w:rsidR="006F1128" w:rsidRPr="006F1128" w:rsidRDefault="006F1128" w:rsidP="006F112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F1128" w:rsidRPr="006F1128" w:rsidRDefault="006F1128" w:rsidP="006F112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2. 釋義</w:t>
            </w:r>
          </w:p>
          <w:p w:rsidR="006F1128" w:rsidRDefault="006F1128" w:rsidP="003F2B1E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="003F2B1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3F2B1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在本條例中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，除文意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另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有所指外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——</w:t>
            </w:r>
          </w:p>
          <w:p w:rsidR="003F2B1E" w:rsidRPr="006F1128" w:rsidRDefault="003F2B1E" w:rsidP="003F2B1E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F1128" w:rsidRPr="006F1128" w:rsidRDefault="006F1128" w:rsidP="003F2B1E">
            <w:pPr>
              <w:adjustRightInd w:val="0"/>
              <w:snapToGrid w:val="0"/>
              <w:spacing w:line="360" w:lineRule="auto"/>
              <w:ind w:leftChars="500" w:left="10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“丈夫”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(husband)及”妻子” (wife)就一個人而言，指該人在有效婚姻中的丈夫或妻子；</w:t>
            </w:r>
          </w:p>
          <w:p w:rsidR="006F1128" w:rsidRDefault="006F1128" w:rsidP="003F2B1E">
            <w:pPr>
              <w:adjustRightInd w:val="0"/>
              <w:snapToGrid w:val="0"/>
              <w:spacing w:line="360" w:lineRule="auto"/>
              <w:ind w:leftChars="500" w:left="10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“非土地實產”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(personal chattels)指 ——</w:t>
            </w:r>
          </w:p>
          <w:p w:rsidR="00C90E9F" w:rsidRPr="006F1128" w:rsidRDefault="00C90E9F" w:rsidP="003F2B1E">
            <w:pPr>
              <w:adjustRightInd w:val="0"/>
              <w:snapToGrid w:val="0"/>
              <w:spacing w:line="360" w:lineRule="auto"/>
              <w:ind w:leftChars="500" w:left="10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F1128" w:rsidRPr="006F1128" w:rsidRDefault="006F1128" w:rsidP="003F2B1E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(a)</w:t>
            </w:r>
            <w:r w:rsidR="003F2B1E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無遺囑者去世時在其尚存丈夫或妻子的任何居所的下列東西，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即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家具、衣服、裝飾品、屬家庭、個人、康樂或裝飾用途的物品、各類消費品、園藝物品及家畜；及</w:t>
            </w:r>
          </w:p>
          <w:p w:rsidR="00BA7435" w:rsidRDefault="006F1128" w:rsidP="00C90E9F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="00C90E9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汽車及附件，但不包括專用於或主要用於業務或專業方面的實產，或金錢或貸款抵押物；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6F1128" w:rsidRPr="006F1128" w:rsidRDefault="006F1128" w:rsidP="00C90E9F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(由1995年第57號第2條代替)</w:t>
            </w:r>
          </w:p>
          <w:p w:rsidR="006F1128" w:rsidRPr="006F1128" w:rsidRDefault="006F112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“法院”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(court)指原訟法庭；  </w:t>
            </w: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(由1998年第25號第2條修訂)</w:t>
            </w:r>
          </w:p>
          <w:p w:rsidR="006F1128" w:rsidRDefault="006F112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“剩餘遺產”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(residuary estate)指無遺囑而去世者的遺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產中每項實益權益，但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扣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除從中適當支付的喪葬費、遺產管理費、債項及其他法律責任，而該等權益是該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無遺囑而去世者如屆成年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並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具行為能力時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即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可憑遺囑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(而非憑藉指定受益的權力)處置的權益；  </w:t>
            </w:r>
          </w:p>
          <w:p w:rsidR="00167FD8" w:rsidRDefault="00167FD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7FD8" w:rsidRDefault="00167FD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7FD8" w:rsidRDefault="00167FD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167FD8" w:rsidRPr="006F1128" w:rsidRDefault="00167FD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(由1995年第57號第12條修訂)</w:t>
            </w:r>
          </w:p>
          <w:p w:rsidR="009942C2" w:rsidRDefault="006F112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“無遺囑者”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(intestate)包括留有遺囑但對其遺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產中若干實益權益未有立下遺囑而去世的人；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6F1128" w:rsidRDefault="006F112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9942C2" w:rsidRPr="006F1128" w:rsidRDefault="009942C2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(由1995年第57號第12條修訂)</w:t>
            </w:r>
          </w:p>
          <w:p w:rsidR="006F1128" w:rsidRPr="00EB378D" w:rsidRDefault="006F1128" w:rsidP="00EB378D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 </w:t>
            </w:r>
            <w:r w:rsidRPr="00EB378D">
              <w:rPr>
                <w:rFonts w:ascii="한컴바탕" w:eastAsia="한컴바탕" w:hAnsi="한컴바탕" w:cs="한컴바탕"/>
                <w:szCs w:val="20"/>
              </w:rPr>
              <w:t>[比照 1925 c. 23 s. 55(1) U.K.]</w:t>
            </w:r>
          </w:p>
          <w:p w:rsidR="006F1128" w:rsidRPr="006F1128" w:rsidRDefault="006F1128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“遺產”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(estate)指不動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產業及可動產業。</w:t>
            </w:r>
          </w:p>
          <w:p w:rsidR="006F1128" w:rsidRPr="006F1128" w:rsidRDefault="006F1128" w:rsidP="00AA4027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 w:rsidR="00C90E9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C90E9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為施行本條例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，任何人如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——  </w:t>
            </w: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(由2004年第28號第35條修訂)</w:t>
            </w:r>
          </w:p>
          <w:p w:rsidR="006F1128" w:rsidRPr="006F1128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 w:rsidR="00EB378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根據《領養條例》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(第290章)作出的領養令受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領養；</w:t>
            </w:r>
          </w:p>
          <w:p w:rsidR="00972062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 w:rsidR="00EB378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受領養而該條例第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17或20F條適用於該領養；或</w:t>
            </w:r>
          </w:p>
          <w:p w:rsidR="006F1128" w:rsidRPr="006F1128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 </w:t>
            </w: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(由2004年第28號第35條修訂)</w:t>
            </w:r>
          </w:p>
          <w:p w:rsidR="007775BA" w:rsidRDefault="006F1128" w:rsidP="00DD24D8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 w:rsidR="00EB378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在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1973年1月1日前按照中國法律及習俗在香港受領養，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則除第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(2A)款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另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有規定外，該人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即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須被視作領養人的子女，而非任何其他人的子女，而與該受領養人的所有關係須據此推演。</w:t>
            </w:r>
          </w:p>
          <w:p w:rsidR="007775BA" w:rsidRDefault="007775BA" w:rsidP="00DD24D8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7775BA" w:rsidRDefault="007775BA" w:rsidP="00DD24D8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6F1128" w:rsidRPr="006F1128" w:rsidRDefault="006F1128" w:rsidP="00DD24D8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 </w:t>
            </w: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(由1995年第57號第2條代替。由2004年第28號第35條修訂)</w:t>
            </w:r>
          </w:p>
          <w:p w:rsidR="006F1128" w:rsidRPr="006F1128" w:rsidRDefault="006F1128" w:rsidP="00AA4027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(2A)</w:t>
            </w:r>
            <w:r w:rsidR="00AA402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為施行本條例，任何人如根據在《領養條例》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(第290章)第5(1)條(c)</w:t>
            </w:r>
            <w:r w:rsidRPr="00AA4027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段下作出的領養令而受領養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，該人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即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須被視作領養人與該段所提述的父或母的子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女，而非任何其他人的子女，而與該受領養人的所有關係須據此推演。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 </w:t>
            </w: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  <w:lang w:eastAsia="zh-CN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  <w:lang w:eastAsia="zh-CN"/>
              </w:rPr>
              <w:t>(由2004年第28號第35條增補)</w:t>
            </w:r>
          </w:p>
          <w:p w:rsidR="002D1012" w:rsidRDefault="002D1012" w:rsidP="00AA4027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eastAsia="zh-CN"/>
              </w:rPr>
            </w:pPr>
          </w:p>
          <w:p w:rsidR="006F1128" w:rsidRPr="006F1128" w:rsidRDefault="006F1128" w:rsidP="00AA4027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eastAsia="zh-CN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  <w:lang w:eastAsia="zh-CN"/>
              </w:rPr>
              <w:t>(3)</w:t>
            </w:r>
            <w:r w:rsidR="00AA4027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  <w:lang w:eastAsia="zh-CN"/>
              </w:rPr>
              <w:t>在本條例內，凡提及任何人去世時仍活着的子女或後嗣時，均包括於該人去世時尚屬腹中胎兒的子女或後嗣。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  <w:lang w:eastAsia="zh-CN"/>
              </w:rPr>
              <w:t xml:space="preserve">  </w:t>
            </w:r>
          </w:p>
          <w:p w:rsidR="00BC04CF" w:rsidRDefault="00BC04CF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 w:hint="eastAsia"/>
                <w:szCs w:val="20"/>
              </w:rPr>
            </w:pPr>
          </w:p>
          <w:p w:rsidR="00BC04CF" w:rsidRDefault="00BC04CF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 w:hint="eastAsia"/>
                <w:szCs w:val="20"/>
              </w:rPr>
            </w:pPr>
          </w:p>
          <w:p w:rsidR="00BC04CF" w:rsidRDefault="00BC04CF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 w:hint="eastAsia"/>
                <w:szCs w:val="20"/>
              </w:rPr>
            </w:pP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[比照 1925 c. 23 s. 55(2) U.K.]</w:t>
            </w:r>
          </w:p>
          <w:p w:rsidR="006F1128" w:rsidRPr="006F1128" w:rsidRDefault="006F1128" w:rsidP="00AA4027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(4)</w:t>
            </w:r>
            <w:r w:rsidR="008B40D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( - )</w:t>
            </w:r>
          </w:p>
          <w:p w:rsidR="006F1128" w:rsidRPr="00C90E9F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(由1995年第57號第2條廢除)</w:t>
            </w:r>
          </w:p>
          <w:p w:rsidR="008B40D3" w:rsidRDefault="008B40D3" w:rsidP="00EB378D">
            <w:pPr>
              <w:adjustRightInd w:val="0"/>
              <w:snapToGrid w:val="0"/>
              <w:spacing w:line="360" w:lineRule="auto"/>
              <w:ind w:leftChars="100" w:left="2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F1128" w:rsidRPr="00EB378D" w:rsidRDefault="006F1128" w:rsidP="00EB378D">
            <w:pPr>
              <w:adjustRightInd w:val="0"/>
              <w:snapToGrid w:val="0"/>
              <w:spacing w:line="360" w:lineRule="auto"/>
              <w:ind w:leftChars="100" w:left="2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EB378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3.</w:t>
            </w:r>
            <w:r w:rsidR="00AA4027" w:rsidRPr="00EB378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EB378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有效婚姻</w:t>
            </w:r>
            <w:r w:rsidR="00E11F8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就本條例而言，“</w:t>
            </w:r>
            <w:r w:rsidRPr="00EB378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有效婚姻”</w:t>
            </w:r>
            <w:r w:rsidRPr="00EB378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(valid marriage)指 ——</w:t>
            </w:r>
          </w:p>
          <w:p w:rsidR="00751C06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(a)</w:t>
            </w:r>
            <w:r w:rsidR="00C90E9F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按照《婚姻條例》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181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章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)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條文而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舉行婚禮或締結的婚姻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；</w:t>
            </w: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(b)</w:t>
            </w:r>
            <w:r w:rsidR="00C90E9F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藉《婚姻制度改革條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例》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178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章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)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認可的新式婚姻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；</w:t>
            </w: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(c)</w:t>
            </w:r>
            <w:r w:rsidR="00C90E9F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藉《婚姻制度改革條例》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178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章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)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宣布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為有效的舊式婚姻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；</w:t>
            </w:r>
          </w:p>
          <w:p w:rsidR="00E11F86" w:rsidRPr="0040397D" w:rsidRDefault="00E11F86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(d)</w:t>
            </w:r>
            <w:r w:rsidR="00C90E9F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在香港以外地方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，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按照當時當地施行的法律舉行婚禮或締結的婚姻。</w:t>
            </w:r>
          </w:p>
          <w:p w:rsidR="00C90E9F" w:rsidRDefault="00C90E9F" w:rsidP="006F112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B1EC8" w:rsidRDefault="009B1EC8" w:rsidP="006F112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751C06" w:rsidRPr="0040397D" w:rsidRDefault="00751C06" w:rsidP="006F112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E37CF" w:rsidRPr="00202201" w:rsidRDefault="006F1128" w:rsidP="006E37C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3A.</w:t>
            </w:r>
            <w:r w:rsidR="00C90E9F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關於非婚生地位人士的推定</w:t>
            </w:r>
          </w:p>
          <w:p w:rsidR="00D210E3" w:rsidRDefault="006F1128" w:rsidP="00EB378D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(1)</w:t>
            </w:r>
            <w:r w:rsidR="00C90E9F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為施行本條例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，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非婚生地位人士被推定在其去世時其父親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並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不尚存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，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而透過其父親與其有親屬關係的人亦</w:t>
            </w:r>
            <w:r w:rsidRPr="006F1128">
              <w:rPr>
                <w:rFonts w:ascii="한컴바탕" w:eastAsia="한컴바탕" w:hAnsi="한컴바탕" w:cs="한컴바탕" w:hint="cs"/>
                <w:sz w:val="28"/>
                <w:szCs w:val="28"/>
              </w:rPr>
              <w:t>並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不尚存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，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除非相反證明成立。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</w:t>
            </w:r>
          </w:p>
          <w:p w:rsidR="00D210E3" w:rsidRDefault="00D210E3" w:rsidP="00EB378D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D210E3" w:rsidRDefault="00D210E3" w:rsidP="00EB378D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D210E3" w:rsidRDefault="00D210E3" w:rsidP="00EB378D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 xml:space="preserve"> </w:t>
            </w:r>
          </w:p>
          <w:p w:rsidR="006F1128" w:rsidRPr="0040397D" w:rsidRDefault="006F1128" w:rsidP="00C90E9F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>[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比照</w:t>
            </w: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 xml:space="preserve"> 1987 c. 42 s. 18(2) U.K.]</w:t>
            </w:r>
          </w:p>
          <w:p w:rsidR="006F1128" w:rsidRDefault="006F1128" w:rsidP="00EB378D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(2)</w:t>
            </w:r>
            <w:r w:rsidR="00EB378D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(1)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款的推定不適用於以下的人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——</w:t>
            </w:r>
          </w:p>
          <w:p w:rsidR="00C25019" w:rsidRPr="0040397D" w:rsidRDefault="00C25019" w:rsidP="00EB378D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(a)</w:t>
            </w:r>
            <w:r w:rsidR="00EB378D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屬《婚生地位條例》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184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章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)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條所指獲確立婚生地位人士的人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；</w:t>
            </w:r>
          </w:p>
          <w:p w:rsidR="00E73F69" w:rsidRDefault="00E73F69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460FF" w:rsidRPr="0040397D" w:rsidRDefault="00F460FF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(b)</w:t>
            </w:r>
            <w:r w:rsidR="00EB378D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根據《婚生地位條例》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184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章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)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被當作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為或被視為具婚生地位的人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；</w:t>
            </w:r>
          </w:p>
          <w:p w:rsidR="00E73F69" w:rsidRDefault="00E73F69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F22B7" w:rsidRDefault="003F22B7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F22B7" w:rsidRDefault="003F22B7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3F22B7" w:rsidRPr="0040397D" w:rsidRDefault="003F22B7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(c)</w:t>
            </w:r>
            <w:r w:rsidR="00AA4027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根據以下各項的受領養人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——</w:t>
            </w: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400" w:left="1220" w:rightChars="50" w:right="100" w:hangingChars="150" w:hanging="42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(i)</w:t>
            </w:r>
            <w:r w:rsidR="00AA4027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根據《領養條例》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第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290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章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)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作出的領養令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；</w:t>
            </w: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400" w:left="1220" w:rightChars="50" w:right="100" w:hangingChars="150" w:hanging="42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(ii)</w:t>
            </w:r>
            <w:r w:rsidR="00AA4027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香港法律承認為有效的領養</w:t>
            </w:r>
            <w:r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；</w:t>
            </w:r>
          </w:p>
          <w:p w:rsidR="006F1128" w:rsidRPr="0040397D" w:rsidRDefault="006F1128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(d)</w:t>
            </w:r>
            <w:r w:rsidR="00AA4027" w:rsidRPr="0040397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在其他方面根據法律被視為具婚生地位的人。</w:t>
            </w:r>
            <w:r w:rsidRPr="0040397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  </w:t>
            </w:r>
          </w:p>
          <w:p w:rsidR="003F22B7" w:rsidRDefault="003F22B7" w:rsidP="00AA4027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 w:hint="eastAsia"/>
                <w:szCs w:val="20"/>
                <w:lang w:val="fr-FR"/>
              </w:rPr>
            </w:pPr>
          </w:p>
          <w:p w:rsidR="003F22B7" w:rsidRDefault="003F22B7" w:rsidP="00AA4027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 w:hint="eastAsia"/>
                <w:szCs w:val="20"/>
                <w:lang w:val="fr-FR"/>
              </w:rPr>
            </w:pPr>
          </w:p>
          <w:p w:rsidR="003F22B7" w:rsidRDefault="003F22B7" w:rsidP="00AA4027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 w:hint="eastAsia"/>
                <w:szCs w:val="20"/>
                <w:lang w:val="fr-FR"/>
              </w:rPr>
            </w:pPr>
          </w:p>
          <w:p w:rsidR="006F1128" w:rsidRPr="0040397D" w:rsidRDefault="006F1128" w:rsidP="00AA4027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>[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比照</w:t>
            </w: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 xml:space="preserve"> 1987 c. 42 s. 1(4) U.K.]</w:t>
            </w:r>
          </w:p>
          <w:p w:rsidR="007A5496" w:rsidRPr="0040397D" w:rsidRDefault="006F1128" w:rsidP="00AA4027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>(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由</w:t>
            </w: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>1993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年第</w:t>
            </w: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>17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號第</w:t>
            </w: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>19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條增補</w:t>
            </w:r>
            <w:r w:rsidRPr="0040397D">
              <w:rPr>
                <w:rFonts w:ascii="한컴바탕" w:eastAsia="한컴바탕" w:hAnsi="한컴바탕" w:cs="한컴바탕"/>
                <w:szCs w:val="20"/>
                <w:lang w:val="fr-FR"/>
              </w:rPr>
              <w:t>)</w:t>
            </w:r>
          </w:p>
        </w:tc>
        <w:tc>
          <w:tcPr>
            <w:tcW w:w="4649" w:type="dxa"/>
            <w:tcMar>
              <w:top w:w="170" w:type="dxa"/>
              <w:bottom w:w="170" w:type="dxa"/>
            </w:tcMar>
          </w:tcPr>
          <w:p w:rsidR="001C59F5" w:rsidRPr="006F1128" w:rsidRDefault="001C59F5" w:rsidP="001C59F5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약칭</w:t>
            </w:r>
          </w:p>
          <w:p w:rsidR="001C59F5" w:rsidRPr="006F1128" w:rsidRDefault="001C59F5" w:rsidP="001C59F5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조례는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 유산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라고 칭한다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。</w:t>
            </w:r>
          </w:p>
          <w:p w:rsidR="002E72FE" w:rsidRDefault="002E72FE" w:rsidP="002E72FE">
            <w:pPr>
              <w:adjustRightInd w:val="0"/>
              <w:snapToGrid w:val="0"/>
              <w:spacing w:line="360" w:lineRule="auto"/>
              <w:ind w:leftChars="100" w:left="2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3F2B1E" w:rsidRDefault="003F2B1E" w:rsidP="002E72FE">
            <w:pPr>
              <w:adjustRightInd w:val="0"/>
              <w:snapToGrid w:val="0"/>
              <w:spacing w:line="360" w:lineRule="auto"/>
              <w:ind w:leftChars="100" w:left="2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2. 해석</w:t>
            </w:r>
          </w:p>
          <w:p w:rsidR="003F2B1E" w:rsidRDefault="003F2B1E" w:rsidP="003F2B1E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(1) 이 조례 가운데 별도의 뜻이 있는 경우를 제외하고 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——</w:t>
            </w:r>
          </w:p>
          <w:p w:rsidR="003F2B1E" w:rsidRPr="006F1128" w:rsidRDefault="003F2B1E" w:rsidP="003F2B1E">
            <w:pPr>
              <w:adjustRightInd w:val="0"/>
              <w:snapToGrid w:val="0"/>
              <w:spacing w:line="360" w:lineRule="auto"/>
              <w:ind w:leftChars="500" w:left="10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남편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(husband)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및 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”</w:t>
            </w:r>
            <w:r w:rsidR="00AB1D27">
              <w:rPr>
                <w:rFonts w:ascii="한컴바탕" w:eastAsia="한컴바탕" w:hAnsi="한컴바탕" w:cs="한컴바탕" w:hint="eastAsia"/>
                <w:sz w:val="28"/>
                <w:szCs w:val="28"/>
              </w:rPr>
              <w:t>아내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” (wife)</w:t>
            </w:r>
            <w:r w:rsidR="00C90E9F">
              <w:rPr>
                <w:rFonts w:ascii="한컴바탕" w:eastAsia="한컴바탕" w:hAnsi="한컴바탕" w:cs="한컴바탕" w:hint="eastAsia"/>
                <w:sz w:val="28"/>
                <w:szCs w:val="28"/>
              </w:rPr>
              <w:t>란 1명이며, 해당자는 혼인 관계에 있는 남편 또는 아내이다.</w:t>
            </w:r>
          </w:p>
          <w:p w:rsidR="003F2B1E" w:rsidRPr="006F1128" w:rsidRDefault="003F2B1E" w:rsidP="003F2B1E">
            <w:pPr>
              <w:adjustRightInd w:val="0"/>
              <w:snapToGrid w:val="0"/>
              <w:spacing w:line="360" w:lineRule="auto"/>
              <w:ind w:leftChars="500" w:left="10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 w:rsidR="00C90E9F">
              <w:rPr>
                <w:rFonts w:ascii="한컴바탕" w:eastAsia="한컴바탕" w:hAnsi="한컴바탕" w:cs="한컴바탕" w:hint="eastAsia"/>
                <w:sz w:val="28"/>
                <w:szCs w:val="28"/>
              </w:rPr>
              <w:t>비(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非</w:t>
            </w:r>
            <w:r w:rsidR="00C90E9F">
              <w:rPr>
                <w:rFonts w:ascii="한컴바탕" w:eastAsia="한컴바탕" w:hAnsi="한컴바탕" w:cs="한컴바탕" w:hint="eastAsia"/>
                <w:sz w:val="28"/>
                <w:szCs w:val="28"/>
              </w:rPr>
              <w:t>)토지 실제생산량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(personal chattels)</w:t>
            </w:r>
            <w:r w:rsidR="00C90E9F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이란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——</w:t>
            </w:r>
          </w:p>
          <w:p w:rsidR="00C90E9F" w:rsidRPr="006F1128" w:rsidRDefault="00C90E9F" w:rsidP="00073B02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(a)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073B0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무유언자가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사망하는 때에 </w:t>
            </w:r>
            <w:r w:rsidR="0040397D">
              <w:rPr>
                <w:rFonts w:ascii="한컴바탕" w:eastAsia="한컴바탕" w:hAnsi="한컴바탕" w:cs="한컴바탕" w:hint="eastAsia"/>
                <w:sz w:val="28"/>
                <w:szCs w:val="28"/>
              </w:rPr>
              <w:t>생존하는 남편 또는 아내의 모든 거주지에 있는 아래의 물품: 가구·의복·장식품·</w:t>
            </w:r>
            <w:r w:rsidR="00BA7435">
              <w:rPr>
                <w:rFonts w:ascii="한컴바탕" w:eastAsia="한컴바탕" w:hAnsi="한컴바탕" w:cs="한컴바탕" w:hint="eastAsia"/>
                <w:sz w:val="28"/>
                <w:szCs w:val="28"/>
              </w:rPr>
              <w:t>생활품·개인용품·오락 또는 장식용 물품·각종 소비품·예술품·가축</w:t>
            </w:r>
          </w:p>
          <w:p w:rsidR="00073B02" w:rsidRPr="006F1128" w:rsidRDefault="00073B02" w:rsidP="00BA7435">
            <w:pPr>
              <w:adjustRightInd w:val="0"/>
              <w:snapToGrid w:val="0"/>
              <w:spacing w:line="360" w:lineRule="auto"/>
              <w:ind w:leftChars="300" w:left="1440" w:rightChars="50" w:right="100" w:hangingChars="300" w:hanging="84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BA7435">
              <w:rPr>
                <w:rFonts w:ascii="한컴바탕" w:eastAsia="한컴바탕" w:hAnsi="한컴바탕" w:cs="한컴바탕" w:hint="eastAsia"/>
                <w:sz w:val="28"/>
                <w:szCs w:val="28"/>
              </w:rPr>
              <w:t>자동차 및 부속품: 다만실사용 목적이 업무용 또는 전문가용이거나 금전 및 대출 저당으로 빌린 물품은 제외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073B02" w:rsidRPr="00C90E9F" w:rsidRDefault="00073B02" w:rsidP="00073B02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(1995</w:t>
            </w:r>
            <w:r w:rsidR="00BA7435"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57</w:t>
            </w:r>
            <w:r w:rsidR="00BA7435"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</w:t>
            </w:r>
            <w:r w:rsidR="00BA7435">
              <w:rPr>
                <w:rFonts w:ascii="한컴바탕" w:eastAsia="한컴바탕" w:hAnsi="한컴바탕" w:cs="한컴바탕" w:hint="eastAsia"/>
                <w:szCs w:val="20"/>
              </w:rPr>
              <w:t>조 대체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073B02" w:rsidRPr="006F1128" w:rsidRDefault="00073B02" w:rsidP="00EB378D">
            <w:pPr>
              <w:adjustRightInd w:val="0"/>
              <w:snapToGrid w:val="0"/>
              <w:spacing w:line="360" w:lineRule="auto"/>
              <w:ind w:leftChars="400" w:left="8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“법원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(court)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이란 제1심 법원을 가리킨다.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 </w:t>
            </w:r>
          </w:p>
          <w:p w:rsidR="00073B02" w:rsidRPr="00C90E9F" w:rsidRDefault="00073B02" w:rsidP="00073B02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(1998</w:t>
            </w:r>
            <w:r w:rsidR="00BA7435"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25</w:t>
            </w:r>
            <w:r w:rsidR="00BA7435"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</w:t>
            </w:r>
            <w:r w:rsidR="00BA7435">
              <w:rPr>
                <w:rFonts w:ascii="한컴바탕" w:eastAsia="한컴바탕" w:hAnsi="한컴바탕" w:cs="한컴바탕" w:hint="eastAsia"/>
                <w:szCs w:val="20"/>
              </w:rPr>
              <w:t>조에 따라 개정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073B02" w:rsidRPr="006F1128" w:rsidRDefault="00073B02" w:rsidP="00BD33CC">
            <w:pPr>
              <w:adjustRightInd w:val="0"/>
              <w:snapToGrid w:val="0"/>
              <w:spacing w:line="360" w:lineRule="auto"/>
              <w:ind w:leftChars="400" w:left="8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잔여 재산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(residuary estate)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이란</w:t>
            </w:r>
            <w:r w:rsidR="00EB378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유언을 남기지 아니하고 사망한 자의 유산 중 </w:t>
            </w:r>
            <w:r w:rsidR="00BA7435">
              <w:rPr>
                <w:rFonts w:ascii="한컴바탕" w:eastAsia="한컴바탕" w:hAnsi="한컴바탕" w:cs="한컴바탕" w:hint="eastAsia"/>
                <w:sz w:val="28"/>
                <w:szCs w:val="28"/>
              </w:rPr>
              <w:t>모든 실제</w:t>
            </w:r>
            <w:r w:rsidR="00167FD8">
              <w:rPr>
                <w:rFonts w:ascii="한컴바탕" w:eastAsia="한컴바탕" w:hAnsi="한컴바탕" w:cs="한컴바탕" w:hint="eastAsia"/>
                <w:sz w:val="28"/>
                <w:szCs w:val="28"/>
              </w:rPr>
              <w:t>적 권익을</w:t>
            </w:r>
            <w:r w:rsidR="00BA743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가리킨다.</w:t>
            </w:r>
            <w:r w:rsidR="00EB378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다만</w:t>
            </w:r>
            <w:r w:rsidR="00BA7435">
              <w:rPr>
                <w:rFonts w:ascii="한컴바탕" w:eastAsia="한컴바탕" w:hAnsi="한컴바탕" w:cs="한컴바탕" w:hint="eastAsia"/>
                <w:sz w:val="28"/>
                <w:szCs w:val="28"/>
              </w:rPr>
              <w:t>, 적당한 수준에서 지출하는 장례비용·유</w:t>
            </w:r>
            <w:r w:rsidR="00BA7435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산관리비·부채·법적책임</w:t>
            </w:r>
            <w:r w:rsidR="00167FD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을 공제하고, 유언을 남기지 아니하고 사망한 자의 권익을 받는 자는 (지정 수익 권한이 없는 경우) 성년이 되어 행위능력을 갖추는 때에 유언에 따라 권익을 처리할 수 있다.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 </w:t>
            </w:r>
          </w:p>
          <w:p w:rsidR="00EB378D" w:rsidRPr="00C90E9F" w:rsidRDefault="00EB378D" w:rsidP="00EB378D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(1995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57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12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조 개정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EB378D" w:rsidRPr="006F1128" w:rsidRDefault="00EB378D" w:rsidP="00BD33CC">
            <w:pPr>
              <w:adjustRightInd w:val="0"/>
              <w:snapToGrid w:val="0"/>
              <w:spacing w:line="360" w:lineRule="auto"/>
              <w:ind w:leftChars="400" w:left="800" w:rightChars="50" w:right="1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무유언자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(intestate)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란 유언을 남겼으나 그 </w:t>
            </w:r>
            <w:r w:rsidR="009942C2">
              <w:rPr>
                <w:rFonts w:ascii="한컴바탕" w:eastAsia="한컴바탕" w:hAnsi="한컴바탕" w:cs="한컴바탕" w:hint="eastAsia"/>
                <w:sz w:val="28"/>
                <w:szCs w:val="28"/>
              </w:rPr>
              <w:t>유산과 관련한 권익 일부 또는 전부에 대하여 유언을 남기지 아니하고 사망하는 자를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포함한다. 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EB378D" w:rsidRPr="00C90E9F" w:rsidRDefault="00EB378D" w:rsidP="00EB378D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(1995</w:t>
            </w:r>
            <w:r w:rsidR="009942C2"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57</w:t>
            </w:r>
            <w:r w:rsidR="009942C2"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12</w:t>
            </w:r>
            <w:r w:rsidR="009942C2">
              <w:rPr>
                <w:rFonts w:ascii="한컴바탕" w:eastAsia="한컴바탕" w:hAnsi="한컴바탕" w:cs="한컴바탕" w:hint="eastAsia"/>
                <w:szCs w:val="20"/>
              </w:rPr>
              <w:t>조에 따라 개정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EB378D" w:rsidRPr="00EB378D" w:rsidRDefault="00EB378D" w:rsidP="00EB378D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 </w:t>
            </w:r>
            <w:r w:rsidRPr="00EB378D">
              <w:rPr>
                <w:rFonts w:ascii="한컴바탕" w:eastAsia="한컴바탕" w:hAnsi="한컴바탕" w:cs="한컴바탕"/>
                <w:szCs w:val="20"/>
              </w:rPr>
              <w:t>[1925 c. 23 s. 55(1) U.K.</w:t>
            </w:r>
            <w:r w:rsidR="00D210E3">
              <w:rPr>
                <w:rFonts w:ascii="한컴바탕" w:eastAsia="한컴바탕" w:hAnsi="한컴바탕" w:cs="한컴바탕" w:hint="eastAsia"/>
                <w:szCs w:val="20"/>
              </w:rPr>
              <w:t>와</w:t>
            </w:r>
            <w:r w:rsidR="009942C2">
              <w:rPr>
                <w:rFonts w:ascii="한컴바탕" w:eastAsia="한컴바탕" w:hAnsi="한컴바탕" w:cs="한컴바탕" w:hint="eastAsia"/>
                <w:szCs w:val="20"/>
              </w:rPr>
              <w:t xml:space="preserve"> 비교</w:t>
            </w:r>
            <w:r w:rsidR="00D210E3">
              <w:rPr>
                <w:rFonts w:ascii="한컴바탕" w:eastAsia="한컴바탕" w:hAnsi="한컴바탕" w:cs="한컴바탕" w:hint="eastAsia"/>
                <w:szCs w:val="20"/>
              </w:rPr>
              <w:t xml:space="preserve"> </w:t>
            </w:r>
            <w:r w:rsidR="009942C2">
              <w:rPr>
                <w:rFonts w:ascii="한컴바탕" w:eastAsia="한컴바탕" w:hAnsi="한컴바탕" w:cs="한컴바탕" w:hint="eastAsia"/>
                <w:szCs w:val="20"/>
              </w:rPr>
              <w:t>대조</w:t>
            </w:r>
            <w:r w:rsidRPr="00EB378D">
              <w:rPr>
                <w:rFonts w:ascii="한컴바탕" w:eastAsia="한컴바탕" w:hAnsi="한컴바탕" w:cs="한컴바탕"/>
                <w:szCs w:val="20"/>
              </w:rPr>
              <w:t>]</w:t>
            </w:r>
          </w:p>
          <w:p w:rsidR="00EB378D" w:rsidRDefault="00EB378D" w:rsidP="00EB378D">
            <w:pPr>
              <w:adjustRightInd w:val="0"/>
              <w:snapToGrid w:val="0"/>
              <w:spacing w:line="360" w:lineRule="auto"/>
              <w:ind w:leftChars="400" w:left="1080" w:rightChars="50" w:right="100" w:hangingChars="100" w:hanging="28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“유산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”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(estate)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이란 부동산및 동산을 가리킨다.</w:t>
            </w:r>
          </w:p>
          <w:p w:rsidR="00EB378D" w:rsidRPr="006F1128" w:rsidRDefault="00EB378D" w:rsidP="009942C2">
            <w:pPr>
              <w:adjustRightInd w:val="0"/>
              <w:snapToGrid w:val="0"/>
              <w:spacing w:line="360" w:lineRule="auto"/>
              <w:ind w:leftChars="400" w:left="13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(2) 이 조례의 시행</w:t>
            </w:r>
            <w:r w:rsidR="009942C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따라누구든지 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——</w:t>
            </w:r>
          </w:p>
          <w:p w:rsidR="00EB378D" w:rsidRPr="00C90E9F" w:rsidRDefault="00EB378D" w:rsidP="00EB378D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(2004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28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35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조 개정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6646A7" w:rsidRDefault="00EB378D" w:rsidP="00EB378D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 w:rsidR="006646A7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양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290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 w:rsidR="009942C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</w:t>
            </w:r>
            <w:r w:rsidR="00BB642D">
              <w:rPr>
                <w:rFonts w:ascii="한컴바탕" w:eastAsia="한컴바탕" w:hAnsi="한컴바탕" w:cs="한컴바탕" w:hint="eastAsia"/>
                <w:sz w:val="28"/>
                <w:szCs w:val="28"/>
              </w:rPr>
              <w:t>근거한 입양령에 따</w:t>
            </w:r>
            <w:r w:rsidR="00BB642D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 xml:space="preserve">르는 </w:t>
            </w:r>
            <w:r w:rsidR="006646A7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입양</w:t>
            </w:r>
          </w:p>
          <w:p w:rsidR="00DD24D8" w:rsidRPr="006F1128" w:rsidRDefault="00DD24D8" w:rsidP="00DD24D8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972062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입양</w:t>
            </w:r>
            <w:r w:rsidR="00BB642D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된 뒤에 </w:t>
            </w:r>
            <w:r w:rsidR="00972062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제17조 또는 제20F조를 적용하는 입양</w:t>
            </w:r>
          </w:p>
          <w:p w:rsidR="00DD24D8" w:rsidRPr="00C90E9F" w:rsidRDefault="00DD24D8" w:rsidP="00DD24D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(2004</w:t>
            </w:r>
            <w:r w:rsidR="00972062"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28</w:t>
            </w:r>
            <w:r w:rsidR="00972062"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35</w:t>
            </w:r>
            <w:r w:rsidR="00972062">
              <w:rPr>
                <w:rFonts w:ascii="한컴바탕" w:eastAsia="한컴바탕" w:hAnsi="한컴바탕" w:cs="한컴바탕" w:hint="eastAsia"/>
                <w:szCs w:val="20"/>
              </w:rPr>
              <w:t>조에 따라 개정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DD24D8" w:rsidRPr="006F1128" w:rsidRDefault="00DD24D8" w:rsidP="00DD24D8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CB4C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제(2A)관이 별도로 규정하는 경우를 제외하고, 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1973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년 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월 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일 이전에 중국 법률 및 관습에 따라 홍콩에 </w:t>
            </w:r>
            <w:r w:rsidR="00972062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입양</w:t>
            </w:r>
            <w:r w:rsidR="00CB4C47">
              <w:rPr>
                <w:rFonts w:ascii="한컴바탕" w:eastAsia="한컴바탕" w:hAnsi="한컴바탕" w:cs="한컴바탕" w:hint="eastAsia"/>
                <w:sz w:val="28"/>
                <w:szCs w:val="28"/>
              </w:rPr>
              <w:t>되어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, </w:t>
            </w:r>
            <w:r w:rsidR="00CB4C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입양자의 자녀로 간주되고 다른 사람의 자녀로 간주되지 아니하며, </w:t>
            </w:r>
            <w:r w:rsidR="007775BA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입양된 자와의 모든 관계가 동일하게 추론하도록 이루어진 입양</w:t>
            </w:r>
          </w:p>
          <w:p w:rsidR="00A53747" w:rsidRPr="00C90E9F" w:rsidRDefault="00A53747" w:rsidP="00A53747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(1995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57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조</w:t>
            </w:r>
            <w:r w:rsidR="007775BA">
              <w:rPr>
                <w:rFonts w:ascii="한컴바탕" w:eastAsia="한컴바탕" w:hAnsi="한컴바탕" w:cs="한컴바탕" w:hint="eastAsia"/>
                <w:szCs w:val="20"/>
              </w:rPr>
              <w:t>를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 xml:space="preserve"> </w:t>
            </w:r>
            <w:r w:rsidR="007775BA">
              <w:rPr>
                <w:rFonts w:ascii="한컴바탕" w:eastAsia="한컴바탕" w:hAnsi="한컴바탕" w:cs="한컴바탕" w:hint="eastAsia"/>
                <w:szCs w:val="20"/>
              </w:rPr>
              <w:t>대체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 xml:space="preserve">. 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2004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28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35</w:t>
            </w:r>
            <w:r>
              <w:rPr>
                <w:rFonts w:ascii="한컴바탕" w:eastAsia="한컴바탕" w:hAnsi="한컴바탕" w:cs="한컴바탕" w:hint="eastAsia"/>
                <w:szCs w:val="20"/>
              </w:rPr>
              <w:t>조에 근거하여 개정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A53747" w:rsidRDefault="00A53747" w:rsidP="008B40D3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(2A)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7775BA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조례의 시행에 따라</w:t>
            </w:r>
            <w:r w:rsidR="007775BA"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 w:rsidR="007775BA">
              <w:rPr>
                <w:rFonts w:ascii="한컴바탕" w:eastAsia="한컴바탕" w:hAnsi="한컴바탕" w:cs="한컴바탕" w:hint="eastAsia"/>
                <w:sz w:val="28"/>
                <w:szCs w:val="28"/>
              </w:rPr>
              <w:t>입양 조례</w:t>
            </w:r>
            <w:r w:rsidR="007775BA"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="007775BA"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r w:rsidR="007775BA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="007775BA" w:rsidRPr="006F1128">
              <w:rPr>
                <w:rFonts w:ascii="한컴바탕" w:eastAsia="한컴바탕" w:hAnsi="한컴바탕" w:cs="한컴바탕"/>
                <w:sz w:val="28"/>
                <w:szCs w:val="28"/>
              </w:rPr>
              <w:t>290</w:t>
            </w:r>
            <w:r w:rsidR="007775BA"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="007775BA" w:rsidRPr="006F1128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 w:rsidR="002D1012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제5(1)조(3)단에 따르는 입양령에 근거하여 입양된 자가 각 단이 서술하는데로 부 또는 모인 입양자의 </w:t>
            </w:r>
            <w:r w:rsidR="002D1012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자녀이고, 다른 사람의 자녀가 아니며, 입양된 자와의 모든 관계가 동일하게 추론하도록 이루어진 입양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2D1012" w:rsidRPr="00C90E9F" w:rsidRDefault="002D1012" w:rsidP="002D1012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(2004</w:t>
            </w:r>
            <w:r w:rsidR="006D3195"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28</w:t>
            </w:r>
            <w:r w:rsidR="006D3195"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35</w:t>
            </w:r>
            <w:r w:rsidR="006D3195">
              <w:rPr>
                <w:rFonts w:ascii="한컴바탕" w:eastAsia="한컴바탕" w:hAnsi="한컴바탕" w:cs="한컴바탕" w:hint="eastAsia"/>
                <w:szCs w:val="20"/>
              </w:rPr>
              <w:t>조 증보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A53747" w:rsidRDefault="002D1012" w:rsidP="008B40D3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537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(3)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조례에서 일반적으로</w:t>
            </w:r>
            <w:r w:rsidR="006D319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어떤 사람이든지 사망하는 때에 생존하는 자녀 또는 후사가 있는 경우, 해당 사망자가 사망하는 때에 복중에 있던 태아 또는 후사도 동등하게 포함한다. </w:t>
            </w:r>
          </w:p>
          <w:p w:rsidR="00964765" w:rsidRPr="00C90E9F" w:rsidRDefault="00964765" w:rsidP="00964765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[1925 c. 23 s. 55(2) U.K.</w:t>
            </w:r>
            <w:r w:rsidR="008B40D3">
              <w:rPr>
                <w:rFonts w:ascii="한컴바탕" w:eastAsia="한컴바탕" w:hAnsi="한컴바탕" w:cs="한컴바탕" w:hint="eastAsia"/>
                <w:szCs w:val="20"/>
              </w:rPr>
              <w:t>와 비교 대조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]</w:t>
            </w:r>
          </w:p>
          <w:p w:rsidR="00A53747" w:rsidRDefault="00964765" w:rsidP="00A53747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A5374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(4) </w:t>
            </w:r>
            <w:r w:rsidR="008B40D3">
              <w:rPr>
                <w:rFonts w:ascii="한컴바탕" w:eastAsia="한컴바탕" w:hAnsi="한컴바탕" w:cs="한컴바탕" w:hint="eastAsia"/>
                <w:sz w:val="28"/>
                <w:szCs w:val="28"/>
              </w:rPr>
              <w:t>( - )</w:t>
            </w:r>
          </w:p>
          <w:p w:rsidR="00964765" w:rsidRPr="00C90E9F" w:rsidRDefault="00964765" w:rsidP="00964765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(1995</w:t>
            </w:r>
            <w:r w:rsidR="008B40D3"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57</w:t>
            </w:r>
            <w:r w:rsidR="008B40D3"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2</w:t>
            </w:r>
            <w:r w:rsidR="008B40D3">
              <w:rPr>
                <w:rFonts w:ascii="한컴바탕" w:eastAsia="한컴바탕" w:hAnsi="한컴바탕" w:cs="한컴바탕" w:hint="eastAsia"/>
                <w:szCs w:val="20"/>
              </w:rPr>
              <w:t>조에 따라 폐지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)</w:t>
            </w:r>
          </w:p>
          <w:p w:rsidR="008B40D3" w:rsidRDefault="008B40D3" w:rsidP="00964765">
            <w:pPr>
              <w:adjustRightInd w:val="0"/>
              <w:snapToGrid w:val="0"/>
              <w:spacing w:line="360" w:lineRule="auto"/>
              <w:ind w:leftChars="100" w:left="2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64765" w:rsidRDefault="00964765" w:rsidP="00964765">
            <w:pPr>
              <w:adjustRightInd w:val="0"/>
              <w:snapToGrid w:val="0"/>
              <w:spacing w:line="360" w:lineRule="auto"/>
              <w:ind w:leftChars="100" w:left="2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3. </w:t>
            </w:r>
            <w:r w:rsidR="00E11F8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이 조례에서 말하는 </w:t>
            </w:r>
            <w:r w:rsidR="00E11F8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“유효한 혼인</w:t>
            </w:r>
            <w:r w:rsidR="00E11F86" w:rsidRPr="00EB378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이란</w:t>
            </w:r>
            <w:r w:rsidR="00E11F86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아래 가운데 하나에 해당하는 경우를 말한다.</w:t>
            </w:r>
          </w:p>
          <w:p w:rsidR="00E11F86" w:rsidRDefault="00E11F86" w:rsidP="00E11F86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181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따라 혼례를 거행하거나 혼인 관계를 맺는 경우</w:t>
            </w:r>
          </w:p>
          <w:p w:rsidR="00E11F86" w:rsidRPr="006F1128" w:rsidRDefault="00E11F86" w:rsidP="00E11F86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(b)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혼인제도 개혁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제178장)가 인정하는 신식 혼인인 경우</w:t>
            </w:r>
          </w:p>
          <w:p w:rsidR="00E11F86" w:rsidRDefault="00E11F86" w:rsidP="00751C06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(c)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혼인제도 개혁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제178장)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>에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따라 구식 혼인의 유효성을 선포하는 경우</w:t>
            </w:r>
          </w:p>
          <w:p w:rsidR="00E11F86" w:rsidRPr="006F1128" w:rsidRDefault="00E11F86" w:rsidP="00751C06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(d) 홍콩 이외의 </w:t>
            </w:r>
            <w:r w:rsidR="009B1EC8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지역에서 당시 현지에서 시행하는 법률에 따라 혼례를 거행하거나 혼인 관계를 맺는 경우 </w:t>
            </w:r>
          </w:p>
          <w:p w:rsidR="003F2B1E" w:rsidRDefault="003F2B1E" w:rsidP="002E72FE">
            <w:pPr>
              <w:adjustRightInd w:val="0"/>
              <w:snapToGrid w:val="0"/>
              <w:spacing w:line="360" w:lineRule="auto"/>
              <w:ind w:leftChars="100" w:left="200" w:rightChars="50" w:right="1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11F86" w:rsidRPr="006F1128" w:rsidRDefault="00E11F86" w:rsidP="00E11F86">
            <w:pPr>
              <w:adjustRightInd w:val="0"/>
              <w:snapToGrid w:val="0"/>
              <w:spacing w:line="360" w:lineRule="auto"/>
              <w:ind w:leftChars="100" w:left="200" w:rightChars="100" w:right="20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3A.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E73F69">
              <w:rPr>
                <w:rFonts w:ascii="한컴바탕" w:eastAsia="한컴바탕" w:hAnsi="한컴바탕" w:cs="한컴바탕" w:hint="eastAsia"/>
                <w:sz w:val="28"/>
                <w:szCs w:val="28"/>
              </w:rPr>
              <w:t>혼</w:t>
            </w:r>
            <w:r w:rsidR="009B1EC8">
              <w:rPr>
                <w:rFonts w:ascii="한컴바탕" w:eastAsia="한컴바탕" w:hAnsi="한컴바탕" w:cs="한컴바탕" w:hint="eastAsia"/>
                <w:sz w:val="28"/>
                <w:szCs w:val="28"/>
              </w:rPr>
              <w:t>인 관</w:t>
            </w:r>
            <w:bookmarkStart w:id="0" w:name="_GoBack"/>
            <w:bookmarkEnd w:id="0"/>
            <w:r w:rsidR="009B1EC8">
              <w:rPr>
                <w:rFonts w:ascii="한컴바탕" w:eastAsia="한컴바탕" w:hAnsi="한컴바탕" w:cs="한컴바탕" w:hint="eastAsia"/>
                <w:sz w:val="28"/>
                <w:szCs w:val="28"/>
              </w:rPr>
              <w:t>계</w:t>
            </w:r>
            <w:r w:rsidR="006E37C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로 </w:t>
            </w:r>
            <w:r w:rsidR="009B1EC8">
              <w:rPr>
                <w:rFonts w:ascii="한컴바탕" w:eastAsia="한컴바탕" w:hAnsi="한컴바탕" w:cs="한컴바탕" w:hint="eastAsia"/>
                <w:sz w:val="28"/>
                <w:szCs w:val="28"/>
              </w:rPr>
              <w:t>생성</w:t>
            </w:r>
            <w:r w:rsidR="006E37CF">
              <w:rPr>
                <w:rFonts w:ascii="한컴바탕" w:eastAsia="한컴바탕" w:hAnsi="한컴바탕" w:cs="한컴바탕" w:hint="eastAsia"/>
                <w:sz w:val="28"/>
                <w:szCs w:val="28"/>
              </w:rPr>
              <w:t>되는 관계가 아닌 자에 관한 추정</w:t>
            </w:r>
          </w:p>
          <w:p w:rsidR="00E73F69" w:rsidRPr="006F1128" w:rsidRDefault="00E73F69" w:rsidP="00751C06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이 조례의 시행</w:t>
            </w:r>
            <w:r w:rsidR="006E37CF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에 따라 혼인 관계로 생성되는 관계가 아닌 자가 사망하는 때에 그의 아버지가 생존하지 아니하는 경우, 그의 아버지와 가족 관계에 있는 자도 생존하지 아니하는 경우, </w:t>
            </w:r>
            <w:r w:rsidR="00202201">
              <w:rPr>
                <w:rFonts w:ascii="한컴바탕" w:eastAsia="한컴바탕" w:hAnsi="한컴바탕" w:cs="한컴바탕" w:hint="eastAsia"/>
                <w:sz w:val="28"/>
                <w:szCs w:val="28"/>
              </w:rPr>
              <w:t>증명이 상반되</w:t>
            </w:r>
            <w:r w:rsidR="00D210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 아니하여야만 관계가 성립</w:t>
            </w:r>
            <w:r w:rsidR="00D210E3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한</w:t>
            </w:r>
            <w:r w:rsidR="00202201">
              <w:rPr>
                <w:rFonts w:ascii="한컴바탕" w:eastAsia="한컴바탕" w:hAnsi="한컴바탕" w:cs="한컴바탕" w:hint="eastAsia"/>
                <w:sz w:val="28"/>
                <w:szCs w:val="28"/>
              </w:rPr>
              <w:t>다.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E73F69" w:rsidRPr="00C90E9F" w:rsidRDefault="00E73F69" w:rsidP="00E73F69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C90E9F">
              <w:rPr>
                <w:rFonts w:ascii="한컴바탕" w:eastAsia="한컴바탕" w:hAnsi="한컴바탕" w:cs="한컴바탕"/>
                <w:szCs w:val="20"/>
              </w:rPr>
              <w:t>[1987 c. 42 s. 18(2) U.K.</w:t>
            </w:r>
            <w:r w:rsidR="00D210E3">
              <w:rPr>
                <w:rFonts w:ascii="한컴바탕" w:eastAsia="한컴바탕" w:hAnsi="한컴바탕" w:cs="한컴바탕" w:hint="eastAsia"/>
                <w:szCs w:val="20"/>
              </w:rPr>
              <w:t>와 비교 대조</w:t>
            </w:r>
            <w:r w:rsidRPr="00C90E9F">
              <w:rPr>
                <w:rFonts w:ascii="한컴바탕" w:eastAsia="한컴바탕" w:hAnsi="한컴바탕" w:cs="한컴바탕"/>
                <w:szCs w:val="20"/>
              </w:rPr>
              <w:t>]</w:t>
            </w:r>
          </w:p>
          <w:p w:rsidR="00E73F69" w:rsidRDefault="00E73F69" w:rsidP="00771459">
            <w:pPr>
              <w:adjustRightInd w:val="0"/>
              <w:snapToGrid w:val="0"/>
              <w:spacing w:line="360" w:lineRule="auto"/>
              <w:ind w:leftChars="200" w:left="960" w:rightChars="50" w:right="100" w:hangingChars="200" w:hanging="56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(2)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210E3"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(1)</w:t>
            </w:r>
            <w:r w:rsidR="00D210E3">
              <w:rPr>
                <w:rFonts w:ascii="한컴바탕" w:eastAsia="한컴바탕" w:hAnsi="한컴바탕" w:cs="한컴바탕" w:hint="eastAsia"/>
                <w:sz w:val="28"/>
                <w:szCs w:val="28"/>
              </w:rPr>
              <w:t>관 추정을 아래의</w:t>
            </w:r>
            <w:r w:rsidR="00771459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D210E3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사람에게는 적용하지 아니한다. </w:t>
            </w:r>
          </w:p>
          <w:p w:rsidR="00E73F69" w:rsidRPr="006F1128" w:rsidRDefault="00E73F69" w:rsidP="00F460FF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(a)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혼인으로 생성된 지위에 관한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184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조</w:t>
            </w:r>
            <w:r w:rsidR="00F460FF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 혼인으로 생성된 지위를 가진다고 명확하게 규정하는 자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；</w:t>
            </w:r>
          </w:p>
          <w:p w:rsidR="00E73F69" w:rsidRDefault="00E73F69" w:rsidP="003F22B7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(b)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혼인으로 생성된 지위에 관한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184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 w:rsidR="00F460FF">
              <w:rPr>
                <w:rFonts w:ascii="한컴바탕" w:eastAsia="한컴바탕" w:hAnsi="한컴바탕" w:cs="한컴바탕" w:hint="eastAsia"/>
                <w:sz w:val="28"/>
                <w:szCs w:val="28"/>
              </w:rPr>
              <w:t>가 혼인으로 생성된 지위를 가지기에 합당하다고 규정하거나 해당 지위를 갖추었다고 간주하는 자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；</w:t>
            </w:r>
          </w:p>
          <w:p w:rsidR="00E73F69" w:rsidRPr="00E73F69" w:rsidRDefault="00E73F69" w:rsidP="00E73F69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(c)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아래의 각 항에 따라 부양을 받는 자</w:t>
            </w:r>
            <w:r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——</w:t>
            </w:r>
          </w:p>
          <w:p w:rsidR="00E73F69" w:rsidRDefault="00E73F69" w:rsidP="00E73F69">
            <w:pPr>
              <w:adjustRightInd w:val="0"/>
              <w:snapToGrid w:val="0"/>
              <w:spacing w:line="360" w:lineRule="auto"/>
              <w:ind w:leftChars="400" w:left="1220" w:rightChars="50" w:right="100" w:hangingChars="150" w:hanging="42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(i)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《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부양 조례</w:t>
            </w:r>
            <w:r w:rsidRPr="006F1128">
              <w:rPr>
                <w:rFonts w:ascii="한컴바탕" w:eastAsia="한컴바탕" w:hAnsi="한컴바탕" w:cs="한컴바탕" w:hint="eastAsia"/>
                <w:sz w:val="28"/>
                <w:szCs w:val="28"/>
              </w:rPr>
              <w:t>》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(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290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장</w:t>
            </w: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t>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에 따른 부양 명령</w:t>
            </w:r>
          </w:p>
          <w:p w:rsidR="00E73F69" w:rsidRDefault="00E73F69" w:rsidP="00E73F69">
            <w:pPr>
              <w:adjustRightInd w:val="0"/>
              <w:snapToGrid w:val="0"/>
              <w:spacing w:line="360" w:lineRule="auto"/>
              <w:ind w:leftChars="400" w:left="1220" w:rightChars="50" w:right="100" w:hangingChars="150" w:hanging="42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(ii) 홍콩 법률이 승인하여 유효한 부양</w:t>
            </w:r>
          </w:p>
          <w:p w:rsidR="003704D8" w:rsidRPr="006F1128" w:rsidRDefault="003704D8" w:rsidP="003704D8">
            <w:pPr>
              <w:adjustRightInd w:val="0"/>
              <w:snapToGrid w:val="0"/>
              <w:spacing w:line="360" w:lineRule="auto"/>
              <w:ind w:leftChars="300" w:left="1160" w:rightChars="50" w:right="100" w:hangingChars="200" w:hanging="56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6F1128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(d)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그 밖의 방면에서 </w:t>
            </w:r>
            <w:r w:rsidR="003F22B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법률에 따라 혼인으로 생성된 지위를 가진다고 간주되는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자</w:t>
            </w:r>
          </w:p>
          <w:p w:rsidR="003704D8" w:rsidRPr="00AA4027" w:rsidRDefault="003704D8" w:rsidP="003704D8">
            <w:pPr>
              <w:adjustRightInd w:val="0"/>
              <w:snapToGrid w:val="0"/>
              <w:spacing w:line="360" w:lineRule="auto"/>
              <w:ind w:leftChars="100" w:left="200" w:rightChars="100" w:right="200"/>
              <w:jc w:val="right"/>
              <w:rPr>
                <w:rFonts w:ascii="한컴바탕" w:eastAsia="한컴바탕" w:hAnsi="한컴바탕" w:cs="한컴바탕"/>
                <w:szCs w:val="20"/>
              </w:rPr>
            </w:pPr>
            <w:r w:rsidRPr="00AA4027">
              <w:rPr>
                <w:rFonts w:ascii="한컴바탕" w:eastAsia="한컴바탕" w:hAnsi="한컴바탕" w:cs="한컴바탕"/>
                <w:szCs w:val="20"/>
              </w:rPr>
              <w:t>[1987 c. 42 s. 1(4) U.K.</w:t>
            </w:r>
            <w:r w:rsidR="003F22B7">
              <w:rPr>
                <w:rFonts w:ascii="한컴바탕" w:eastAsia="한컴바탕" w:hAnsi="한컴바탕" w:cs="한컴바탕" w:hint="eastAsia"/>
                <w:szCs w:val="20"/>
              </w:rPr>
              <w:t>와 비교 대조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]</w:t>
            </w:r>
          </w:p>
          <w:p w:rsidR="003F2B1E" w:rsidRPr="00E73F69" w:rsidRDefault="003704D8" w:rsidP="003F22B7">
            <w:pPr>
              <w:adjustRightInd w:val="0"/>
              <w:snapToGrid w:val="0"/>
              <w:spacing w:line="360" w:lineRule="auto"/>
              <w:ind w:leftChars="400" w:left="1100" w:rightChars="50" w:right="100" w:hangingChars="150" w:hanging="300"/>
              <w:jc w:val="righ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AA4027">
              <w:rPr>
                <w:rFonts w:ascii="한컴바탕" w:eastAsia="한컴바탕" w:hAnsi="한컴바탕" w:cs="한컴바탕"/>
                <w:szCs w:val="20"/>
              </w:rPr>
              <w:t>(1993</w:t>
            </w:r>
            <w:r w:rsidR="003F22B7">
              <w:rPr>
                <w:rFonts w:ascii="한컴바탕" w:eastAsia="한컴바탕" w:hAnsi="한컴바탕" w:cs="한컴바탕" w:hint="eastAsia"/>
                <w:szCs w:val="20"/>
              </w:rPr>
              <w:t>년제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17</w:t>
            </w:r>
            <w:r w:rsidR="003F22B7">
              <w:rPr>
                <w:rFonts w:ascii="한컴바탕" w:eastAsia="한컴바탕" w:hAnsi="한컴바탕" w:cs="한컴바탕" w:hint="eastAsia"/>
                <w:szCs w:val="20"/>
              </w:rPr>
              <w:t>호제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19</w:t>
            </w:r>
            <w:r w:rsidR="003F22B7">
              <w:rPr>
                <w:rFonts w:ascii="한컴바탕" w:eastAsia="한컴바탕" w:hAnsi="한컴바탕" w:cs="한컴바탕" w:hint="eastAsia"/>
                <w:szCs w:val="20"/>
              </w:rPr>
              <w:t>조 증보</w:t>
            </w:r>
            <w:r w:rsidRPr="00AA4027">
              <w:rPr>
                <w:rFonts w:ascii="한컴바탕" w:eastAsia="한컴바탕" w:hAnsi="한컴바탕" w:cs="한컴바탕"/>
                <w:szCs w:val="20"/>
              </w:rPr>
              <w:t>)</w:t>
            </w:r>
          </w:p>
        </w:tc>
      </w:tr>
    </w:tbl>
    <w:p w:rsidR="00A25331" w:rsidRPr="00DC01B9" w:rsidRDefault="00A25331" w:rsidP="00397C59">
      <w:pPr>
        <w:wordWrap/>
        <w:spacing w:before="200" w:after="0" w:line="360" w:lineRule="auto"/>
        <w:rPr>
          <w:rFonts w:ascii="한컴바탕" w:eastAsia="한컴바탕" w:hAnsi="한컴바탕" w:cs="한컴바탕"/>
          <w:sz w:val="28"/>
          <w:szCs w:val="36"/>
          <w:lang w:val="fr-FR"/>
        </w:rPr>
      </w:pPr>
    </w:p>
    <w:sectPr w:rsidR="00A25331" w:rsidRPr="00DC01B9" w:rsidSect="00705FF4">
      <w:headerReference w:type="default" r:id="rId8"/>
      <w:footerReference w:type="default" r:id="rId9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A8" w:rsidRDefault="00CA65A8" w:rsidP="00FB3189">
      <w:pPr>
        <w:spacing w:after="0" w:line="240" w:lineRule="auto"/>
      </w:pPr>
      <w:r>
        <w:separator/>
      </w:r>
    </w:p>
  </w:endnote>
  <w:endnote w:type="continuationSeparator" w:id="0">
    <w:p w:rsidR="00CA65A8" w:rsidRDefault="00CA65A8" w:rsidP="00FB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15718"/>
      <w:docPartObj>
        <w:docPartGallery w:val="Page Numbers (Bottom of Page)"/>
        <w:docPartUnique/>
      </w:docPartObj>
    </w:sdtPr>
    <w:sdtEndPr/>
    <w:sdtContent>
      <w:p w:rsidR="00E11F86" w:rsidRDefault="00E11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06" w:rsidRPr="00751C06">
          <w:rPr>
            <w:lang w:val="ko-KR"/>
          </w:rPr>
          <w:t>8</w:t>
        </w:r>
        <w:r>
          <w:fldChar w:fldCharType="end"/>
        </w:r>
      </w:p>
    </w:sdtContent>
  </w:sdt>
  <w:p w:rsidR="00E11F86" w:rsidRDefault="00E11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A8" w:rsidRDefault="00CA65A8" w:rsidP="00FB3189">
      <w:pPr>
        <w:spacing w:after="0" w:line="240" w:lineRule="auto"/>
      </w:pPr>
      <w:r>
        <w:separator/>
      </w:r>
    </w:p>
  </w:footnote>
  <w:footnote w:type="continuationSeparator" w:id="0">
    <w:p w:rsidR="00CA65A8" w:rsidRDefault="00CA65A8" w:rsidP="00FB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86" w:rsidRDefault="00E11F86">
    <w:pPr>
      <w:pStyle w:val="a4"/>
    </w:pPr>
    <w:r>
      <w:rPr>
        <w:lang w:bidi="my-MM"/>
      </w:rPr>
      <w:drawing>
        <wp:anchor distT="0" distB="0" distL="114300" distR="114300" simplePos="0" relativeHeight="251658240" behindDoc="0" locked="0" layoutInCell="1" allowOverlap="1" wp14:anchorId="5326C515" wp14:editId="1163987D">
          <wp:simplePos x="0" y="0"/>
          <wp:positionH relativeFrom="column">
            <wp:align>center</wp:align>
          </wp:positionH>
          <wp:positionV relativeFrom="margin">
            <wp:posOffset>-720090</wp:posOffset>
          </wp:positionV>
          <wp:extent cx="6192000" cy="57185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57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9"/>
    <w:rsid w:val="00055CB8"/>
    <w:rsid w:val="00070404"/>
    <w:rsid w:val="00073B02"/>
    <w:rsid w:val="000C448A"/>
    <w:rsid w:val="00167FD8"/>
    <w:rsid w:val="001B65F1"/>
    <w:rsid w:val="001C59F5"/>
    <w:rsid w:val="00202201"/>
    <w:rsid w:val="002546D7"/>
    <w:rsid w:val="002828E2"/>
    <w:rsid w:val="002D1012"/>
    <w:rsid w:val="002E72FE"/>
    <w:rsid w:val="002F34F3"/>
    <w:rsid w:val="0031426B"/>
    <w:rsid w:val="00325FBD"/>
    <w:rsid w:val="0036107C"/>
    <w:rsid w:val="003704D8"/>
    <w:rsid w:val="00397C59"/>
    <w:rsid w:val="003C4055"/>
    <w:rsid w:val="003D512F"/>
    <w:rsid w:val="003F22B7"/>
    <w:rsid w:val="003F2B1E"/>
    <w:rsid w:val="003F50D8"/>
    <w:rsid w:val="0040397D"/>
    <w:rsid w:val="004E522F"/>
    <w:rsid w:val="00613DD4"/>
    <w:rsid w:val="00663A37"/>
    <w:rsid w:val="006646A7"/>
    <w:rsid w:val="00695EA0"/>
    <w:rsid w:val="006D3195"/>
    <w:rsid w:val="006E37CF"/>
    <w:rsid w:val="006F1128"/>
    <w:rsid w:val="00705FF4"/>
    <w:rsid w:val="00710851"/>
    <w:rsid w:val="00751C06"/>
    <w:rsid w:val="00763EF6"/>
    <w:rsid w:val="0076660D"/>
    <w:rsid w:val="00771459"/>
    <w:rsid w:val="007775BA"/>
    <w:rsid w:val="007A5496"/>
    <w:rsid w:val="008B40D3"/>
    <w:rsid w:val="0090444A"/>
    <w:rsid w:val="00952FAA"/>
    <w:rsid w:val="00964765"/>
    <w:rsid w:val="00972062"/>
    <w:rsid w:val="009942C2"/>
    <w:rsid w:val="009B1EC8"/>
    <w:rsid w:val="00A25331"/>
    <w:rsid w:val="00A53747"/>
    <w:rsid w:val="00A63FD2"/>
    <w:rsid w:val="00AA4027"/>
    <w:rsid w:val="00AB1D27"/>
    <w:rsid w:val="00BA7435"/>
    <w:rsid w:val="00BB642D"/>
    <w:rsid w:val="00BC04CF"/>
    <w:rsid w:val="00BD33CC"/>
    <w:rsid w:val="00BF586C"/>
    <w:rsid w:val="00C21CAD"/>
    <w:rsid w:val="00C25019"/>
    <w:rsid w:val="00C4632E"/>
    <w:rsid w:val="00C90E9F"/>
    <w:rsid w:val="00CA65A8"/>
    <w:rsid w:val="00CB4C47"/>
    <w:rsid w:val="00CF32A5"/>
    <w:rsid w:val="00D210E3"/>
    <w:rsid w:val="00D63D40"/>
    <w:rsid w:val="00DC01B9"/>
    <w:rsid w:val="00DD24D8"/>
    <w:rsid w:val="00DF34C7"/>
    <w:rsid w:val="00E01668"/>
    <w:rsid w:val="00E11F86"/>
    <w:rsid w:val="00E368BD"/>
    <w:rsid w:val="00E73F69"/>
    <w:rsid w:val="00EB378D"/>
    <w:rsid w:val="00ED638C"/>
    <w:rsid w:val="00F460FF"/>
    <w:rsid w:val="00F9207F"/>
    <w:rsid w:val="00FB1519"/>
    <w:rsid w:val="00F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9"/>
    <w:pPr>
      <w:widowControl w:val="0"/>
      <w:wordWrap w:val="0"/>
      <w:autoSpaceDE w:val="0"/>
      <w:autoSpaceDN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3189"/>
    <w:rPr>
      <w:noProof/>
    </w:rPr>
  </w:style>
  <w:style w:type="paragraph" w:styleId="a5">
    <w:name w:val="footer"/>
    <w:basedOn w:val="a"/>
    <w:link w:val="Char0"/>
    <w:uiPriority w:val="99"/>
    <w:unhideWhenUsed/>
    <w:rsid w:val="00FB3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3189"/>
    <w:rPr>
      <w:noProof/>
    </w:rPr>
  </w:style>
  <w:style w:type="paragraph" w:styleId="a6">
    <w:name w:val="Balloon Text"/>
    <w:basedOn w:val="a"/>
    <w:link w:val="Char1"/>
    <w:uiPriority w:val="99"/>
    <w:semiHidden/>
    <w:unhideWhenUsed/>
    <w:rsid w:val="00FB31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3189"/>
    <w:rPr>
      <w:rFonts w:asciiTheme="majorHAnsi" w:eastAsiaTheme="majorEastAsia" w:hAnsiTheme="majorHAnsi" w:cstheme="majorBidi"/>
      <w:noProof/>
      <w:sz w:val="18"/>
      <w:szCs w:val="18"/>
    </w:rPr>
  </w:style>
  <w:style w:type="character" w:styleId="a7">
    <w:name w:val="Hyperlink"/>
    <w:basedOn w:val="a0"/>
    <w:uiPriority w:val="99"/>
    <w:unhideWhenUsed/>
    <w:rsid w:val="00DC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8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5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9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27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17BC-2BBF-49C9-9786-18F81A8D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Lee</dc:creator>
  <cp:lastModifiedBy>Kate Lee</cp:lastModifiedBy>
  <cp:revision>35</cp:revision>
  <cp:lastPrinted>2018-06-04T03:57:00Z</cp:lastPrinted>
  <dcterms:created xsi:type="dcterms:W3CDTF">2018-06-14T09:26:00Z</dcterms:created>
  <dcterms:modified xsi:type="dcterms:W3CDTF">2018-09-09T22:48:00Z</dcterms:modified>
</cp:coreProperties>
</file>