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C3" w:rsidRDefault="005035AE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</w:p>
    <w:p w:rsidR="00FB3189" w:rsidRDefault="00FB3189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</w:p>
    <w:p w:rsidR="00FB3189" w:rsidRPr="0005394D" w:rsidRDefault="00FB3189" w:rsidP="00E53B44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  <w:lang w:eastAsia="zh-CN"/>
        </w:rPr>
      </w:pPr>
      <w:r w:rsidRPr="0005394D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「</w:t>
      </w:r>
      <w:r w:rsidR="00E53B44" w:rsidRPr="00E53B44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審計法</w:t>
      </w:r>
      <w:r w:rsidRPr="0005394D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」</w:t>
      </w:r>
    </w:p>
    <w:p w:rsidR="00FB3189" w:rsidRPr="00595A67" w:rsidRDefault="00FB3189" w:rsidP="003D512F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  <w:lang w:eastAsia="zh-CN"/>
        </w:rPr>
      </w:pP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>[</w:t>
      </w:r>
      <w:r w:rsidR="00705FF4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法律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 xml:space="preserve">, </w:t>
      </w:r>
      <w:r w:rsidR="00705FF4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20</w:t>
      </w:r>
      <w:r w:rsidR="00E53B44">
        <w:rPr>
          <w:rFonts w:ascii="한컴바탕" w:eastAsia="한컴바탕" w:hAnsi="한컴바탕" w:cs="한컴바탕" w:hint="eastAsia"/>
          <w:sz w:val="28"/>
          <w:szCs w:val="28"/>
        </w:rPr>
        <w:t>15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>.</w:t>
      </w:r>
      <w:r w:rsidR="00E53B44">
        <w:rPr>
          <w:rFonts w:ascii="한컴바탕" w:eastAsia="한컴바탕" w:hAnsi="한컴바탕" w:cs="한컴바탕" w:hint="eastAsia"/>
          <w:sz w:val="28"/>
          <w:szCs w:val="28"/>
        </w:rPr>
        <w:t>11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>.</w:t>
      </w:r>
      <w:r w:rsidR="00BF586C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2</w:t>
      </w:r>
      <w:r w:rsidR="00397C59">
        <w:rPr>
          <w:rFonts w:ascii="한컴바탕" w:eastAsia="한컴바탕" w:hAnsi="한컴바탕" w:cs="한컴바탕" w:hint="eastAsia"/>
          <w:sz w:val="28"/>
          <w:szCs w:val="28"/>
        </w:rPr>
        <w:t>0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 xml:space="preserve">., </w:t>
      </w:r>
      <w:r w:rsidR="00705FF4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修正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>]</w:t>
      </w:r>
    </w:p>
    <w:p w:rsidR="00FB3189" w:rsidRPr="00397C59" w:rsidRDefault="00FB3189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eastAsia="zh-CN"/>
        </w:rPr>
      </w:pPr>
    </w:p>
    <w:p w:rsidR="00FB3189" w:rsidRDefault="00FB3189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eastAsia="zh-CN"/>
        </w:rPr>
      </w:pP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b/>
          <w:bCs/>
          <w:sz w:val="28"/>
          <w:szCs w:val="36"/>
          <w:lang w:val="fr-FR"/>
        </w:rPr>
        <w:tab/>
        <w:t>第一章 通則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第一條   (適用)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政府及其所屬機關財務之審計，依本法之規定。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第二條   (審計職權之範圍)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審計職權如左：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一、監督預算之執行。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二、核定收支命令。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三、審核財務收支，審定決算。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四、稽察財物及財政上之不法或不忠於職務之行為。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五、考核財務效能。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六、核定財務責任。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七、其他依法律應行辦理之審計事項。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lastRenderedPageBreak/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第三條   (審計職權之行使機關)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審計職權，由審計機關行使之。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第四條   (中央審計事務之辦理單位)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中央各機關及其所屬機關財務之審計，由審計部辦理；其在各省（市）地方者，得指定就近審計處（室）辦理之。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第五條   (地方審計事務之辦理單位)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各省（市）政府及其所屬機關財務之審計，由各該省（市）審計處辦理之；各縣（市）政府及其所屬機關財務之審計，由各該縣（市）酌設審計室辦理之。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第六條   (特種機關及公營事業審計之辦理)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特種公務機關、公有營業機關、公有事業機關財務之審計，由各該組織範圍審計處（室）辦理之。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lastRenderedPageBreak/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第七條   (其他審計)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未設審計處（室）者，其財務之審計，由各該管審計機關辦理，或指定就近審計處（室）兼理之。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第八條   (委託審計)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審計機關對於審計事務，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為辦理之便利，得委託其他審計機關辦理，其決定應通知原委託機關。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第九條   (專技事項之諮詢與委辦)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審計機關對於審計上涉及特殊技術及監視、鑑定等事項，得諮詢其他機關、團體或專門技術人員，或委託辦理，其結果仍由原委託之審計機關決定之。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第十條   (審計職權之獨立行使)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審計人員依法獨立行使其審計職權，不受干涉。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第十一條   (審核會議)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審計機關處理重要審計案件，在部以審計會議，在處（室）以審核會議決議行之。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lastRenderedPageBreak/>
        <w:t xml:space="preserve">　　前項會議規則，由審計部定之。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第十二條   (審計之就地辦理)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審計機關應經常或臨時派員赴各機關就地辦理審計事務；其未就地辦理者，得通知其送審，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得派員抽查之。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第十三條   (隨時稽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查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審計機關對於各機關一切收支及財物，得隨時稽察之。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第十四條   (審計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查閱權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審計人員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為行使職權，向各機關查閱簿籍、憑證或其他文件，或檢查現金、財物時，各該主管人員不得隱匿或拒絕；遇有疑問，或需要有關資料，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應為詳實之答復或提供之。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如有違背前項規定，審計人員應將其事實報告該管審計機關，通知各該機關長官予以處分，或呈請監察院核辦。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第十五條   (審計機關稽察之實施與協助)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審計機關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為行使職權，得派員持審計部稽察證，向有關之公私團體或個人查詢，或調閱簿籍、憑證或其他文件，各該負責人不得隱匿或拒絕；遇有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lastRenderedPageBreak/>
        <w:t>疑問，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應為詳實之答復。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行使前項職權，必要時，得知照司法或警憲機關協助。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第十六條   (詢問筆錄及封提文件權)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審計機關或審計人員行使前二條之職權，對於詢問事項，得作成筆錄，由受詢人簽名或蓋章；必要時，得臨時封鎖各項有關簿籍、憑證或其他文件，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得提取全部或一部。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第十七條   (不法行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為之報告義務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審計人員發覺各機關人員有財務上不法或不忠於職務上之行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為，應報告該管審計機關，通知各該機關長官處分之，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得由審計機關報請監察院依法處理；其涉及刑事者，應移送法院辦理，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報告於監察院。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第十八條   (緊急處分)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審計人員對於前條情事，認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為有緊急處分之必要，應立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即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報告該管審計機關，通知該機關長官從速執行之。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該機關長官接到前項通知，不為緊急處分時，應連帶負責。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第十九條   (機關長官所應負責不法行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為之通知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lastRenderedPageBreak/>
        <w:t>第十四條第二項、第十七條、第十八條及第七十八條所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舉情事，應負責者為機關長官時，審計機關應通知其上級機關執行處分。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第二十條   (處分案件之督促辦理)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對於審計機關通知處分之案件，各機關有延壓或處分不當情事，審計機關應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查詢之，各機關應為負責之答復。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審計機關對各機關不負責答復，或對其答復認為不當時，得由審計部呈請監察院核辦。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第二十一條   (不當支出之拒簽或剔除)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審計機關或審計人員，對於各機關違背預算或有關法令之不當支出，得事前拒簽或事後剔除追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繳之。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第二十二條   (審計結果之發知)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審計機關處理審計案件，應將審計結果，分別發給核准通知或審核通知於被審核機關。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第二十三條   (聲復)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各機關接得審計機關之審核通知，除決算之審核依決算法規定外，應於接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lastRenderedPageBreak/>
        <w:t>到通知之日起三十日內聲復，由審計機關予以決定：其逾限者，審計機關得逕行決定。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第二十四條   (聲請覆議)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各機關對於審計機關前條之決定不服時，除決算之審定依決算法之規定辦理外，得自接到通知之日起三十日內，聲請覆議；其逾期者，審計機關不予覆議。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聲請覆議，以一次為限。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第二十五條   (聲復及聲請覆議之展期)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各機關對於審計機關逕行決定案件之聲請覆議或審核通知之聲復，因特別事故未能依照前二條所定期限辦理時，得於限內聲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敘事實，請予展期。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前項展期，由審計機關定之，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以一次為限。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第二十六條   (派員說明)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審計機關對於重大審計案件之審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查，必要時得通知被審核機關派員說明，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答復詢問。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第二十七條   (再審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查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lastRenderedPageBreak/>
        <w:t>審計機關對於審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查完竣案件，自決定之日起二年內發現其中有錯誤、遺漏、重複等情事，得為再審查；若發現詐偽之證據，十年內仍得為再審查。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第二十八條   (變更決定之效果)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審計機關因前條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為再審查之結果，如變更原決定者，其已發之核准通知及審定書，失其效力，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應限期繳銷。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第二十九條   (負責人行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蹤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不明致不能結案之處理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審計機關如因被審核機關之負責人員之行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蹤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不明，致案件無法清結時，除通知其主管機關負責查追外，得摘要公告，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將負責人員姓名通知銓敘機關；在未清結前，停止敘用。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第三十條   (決議異議之效果)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各機關有關財務之組織，由審計機關派員參加者，其決議事項，審計機關不受拘束。但以審計機關參加人對該決議曾表示異議者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為限。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第三十一條   (會計制度及審核規章之核定)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各機關會計制度及有關內部審核規章，應會商該管審計機關後始得核定施行，變更時亦同；其有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另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行訂定業務檢核或績效考核辦法者，應通知審計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lastRenderedPageBreak/>
        <w:t>機關。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第三十二條   (審計法令之解釋)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各機關長官或其授權代簽人及主辦會計人員，簽證各項支出，對於審計有關法令，遇有疑義或爭執時，得以書面向該管審計機關諮詢，審計機關應解釋之。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前項解釋，得公告之。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第三十三條   (債權或借款之備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查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政府發行債券或借款，應由主管機關將發行條例或借款契約等送該管審計機關備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查；如有變更，應隨時通知審計機關。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第三十四條   (總決算之審核)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政府於會計年度結束後，應編製總決算，送審計機關審核。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中央政府年度總決算，應由審計部於行政院提出後三個月內完成其審核，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提出審核報告於立法院。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立法院、監察院或兩院中之各委員會，審議前項報告，如有諮詢或需要有關審核之資料，審計長應答復或提供之。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地方政府年度總決算之編送及審核，準用前列各項規定。</w:t>
      </w:r>
    </w:p>
    <w:p w:rsid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 w:hint="eastAsia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lastRenderedPageBreak/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b/>
          <w:bCs/>
          <w:sz w:val="28"/>
          <w:szCs w:val="36"/>
          <w:lang w:val="fr-FR"/>
        </w:rPr>
        <w:t>第二章 公務審計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第三十五條   (分配預算之送審)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各機關已核定之分配預算，連同施政計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畫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及其實施計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畫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，應依限送審計機關；變更時亦同。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前項分配預算，如與法定預算或有關法令不符者，應糾正之。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第三十六條   (會計報告之送審)</w:t>
      </w:r>
    </w:p>
    <w:p w:rsidR="00E53B44" w:rsidRPr="00E53B44" w:rsidRDefault="00E53B44" w:rsidP="00E53B44">
      <w:pPr>
        <w:wordWrap/>
        <w:spacing w:before="200" w:after="0" w:line="360" w:lineRule="auto"/>
        <w:ind w:firstLineChars="100" w:firstLine="280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各機關或各種基金，應依會計法及會計制度之規定，編製會計報告連同相關資訊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檔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案，依限送該管審計機關審核；審計機關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得通知其檢送原始憑證或有關資料。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第三十七條   (派員抽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查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審計機關對於公庫及各地區支付機構經管事務，得隨時派員抽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查。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ind w:firstLineChars="100" w:firstLine="280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第三十八條   (刪除)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>
        <w:rPr>
          <w:rFonts w:ascii="한컴바탕" w:eastAsia="한컴바탕" w:hAnsi="한컴바탕" w:cs="한컴바탕"/>
          <w:sz w:val="28"/>
          <w:szCs w:val="36"/>
          <w:lang w:val="fr-FR"/>
        </w:rPr>
        <w:t xml:space="preserve"> </w:t>
      </w:r>
      <w:bookmarkStart w:id="0" w:name="_GoBack"/>
      <w:bookmarkEnd w:id="0"/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（刪除）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lastRenderedPageBreak/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第三十九條   (刪除)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（刪除）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第四十條   (稅捐審計發現不法之處理)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審計機關派員赴徵收機關辦理賦稅捐費審計事務，如發現有計算錯誤或違法情事，得通知該管機關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查明，依法處理。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第四十一條   (就地審核範圍之決定)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審計機關派員赴各機關就地辦理審計事務，應評核其相關內部控制建立及執行之有效程度，決定其審核之詳簡範圍。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第四十二條   (就地審計之實施)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審計人員就地辦理各機關審計事務時，得通知該機關，將各項報表送審計人員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查核；該審計人員對其簿籍得隨時檢查，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與有關憑證及現金、財物等核對。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lastRenderedPageBreak/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第四十三條   (就地審核結果之報核)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審計人員就地辦理各機關審計事務，應將審核結果，報由該管審計機關核定之。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第四十四條   (刪除)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（刪除）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第四十五條   (年度決算之送審)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各機關於會計年度結束後，應編製年度決算，送審計機關審核；審計機關審定後，應發給審定書。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第四十六條   (逾期送審之催告)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各機關應送之會計報告，不依規定期限送審者，審計機關應予催告；經催告後，仍不送審者得依第十七條規定辦理。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第三章 公有營業及公有事業審計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第四十七條   (公營事業之定義)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lastRenderedPageBreak/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應經審計機關審核之公有營業及事業機關如左：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一、政府獨資經營者。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二、政府與人民合資經營，政府資本超過百分之五十者。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三、由前二款公有營業及事業機關轉投資於其他事業，其轉投資之資本額超過該事業資本百分之五十者。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第四十八條   (公營事業審計之適用)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公有營業及事業機關財務之審計，除依本法及有關法令規定辦理外，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得適用一般企業審計之原則。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第四十九條   (公營事業報表之送審)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公有營業及事業機關之營業或事業計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畫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及預算，暨分期實施計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畫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、收支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估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計表，會計月報，應送審計機關。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第五十條   (公營事業報表之送審)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lastRenderedPageBreak/>
        <w:t>公有營業及事業機關應編製結算表、年度決算表，送審計機關審核。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第五十一條   (盈虧標準)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公有營業及事業之盈虧，以審計機關審定數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為準。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第五十二條   (盈虧撥補)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公有營業及事業盈虧撥補，應依法定程序辦理；其不依規定者，審計機關應修正之。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第五十三條   (資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產重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估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之送審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公有營業及事業機關，依照法令規定，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為固定資產之重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估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價時，應將有關紀錄，送審計機關審核。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第五十四條   (公營事業審計之適用)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公有營業及事業審計，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適用第四十一條至第四十三條、第四十五條及第四十六條之規定。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lastRenderedPageBreak/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第四章 財物審計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第五十五條   (財物之調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查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審計機關對於各機關之現金、票據、證券及其他一切財物之管理、運用及其有關事項，得調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查之；認為不當者，得隨時提出意見於各該機關。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第五十六條   (財物變動報告之送審)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各機關對於所經管之不動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產、物品或其他財產之增減、保管、移轉、處理等事務、應按會計法及其他有關法令之規定，編製有關財物會計報告，依限送審計機關審核；審計機關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得派員查核。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第五十七條   (報廢及銷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燬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各機關對於所經管之財物，依照規定使用年限，已達報廢程度時，必須報廢，其在一定金額以上者，應報審計機關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查核；在一定金額以上不能利用之廢品，及已屆保管年限之會計憑證、簿籍、報表等，依照法令規定可予銷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燬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時，應徵得審計機關同意後為之。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第五十八條   (遺失及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毀損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lastRenderedPageBreak/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各機關經管現金、票據、證券、財物或其他資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產，如有遺失、毀損，或因其他意外事故而致損失者，應檢同有關證件，報審計機關審核。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第五十九條   (審計機關對各機關之採購程序得隨時稽察)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審計機關對於各機關採購之規劃、設計、招標、履約、驗收及其他相關作業，得隨時稽察之；發現有不合法定程序，或與契約、章則不符，或有不當者，應通知有關機關處理。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各機關對於審計機關之稽察，應提供有關資料。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第六十條   (成本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查核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各機關營繕工程及定製財物，其價格之議定，係根據特定條件，按所需實際成本加利潤計算者，應於合約內訂明；審計機關得派員就承攬廠商實際成本之有關帳目，加以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查核，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將結果通知主辦機關。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第六十一條   (債券抽籤還本及銷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燬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之通知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經管債券機關，於債券抽籤還本及銷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燬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時，應通知審計機關。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第五章 考核財務效能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lastRenderedPageBreak/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第六十二條   (逐級考核之通知)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各主管機關應將逐級考核各機關按月或分期實施計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畫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之完成進度、收入，與經費之實際收支狀況，隨時通知審計機關。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第六十三條   (公務機關會計報告及決算之編送)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公務機關編送會計報告及年度決算時，應就計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畫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及預算執行情形，附送績效報告於審計機關；其有工作衡量單位者，應附送成本分析之報告，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說明之。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第六十四條   (公營事業結算及決算表之編送)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各公有營業及事業機關編送結算表及年度決算表時，應附業務報告；其適用成本會計者，應附成本分析報告，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說明之。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第六十五條   (公務機關審計應注意事項)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審計機關辦理公務機關審計事務，應注意左列事項：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一、業務、財務、會計、事務之處理程序及其有關法令。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lastRenderedPageBreak/>
        <w:t xml:space="preserve">　　二、各項計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畫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實施進度、收支預算執行經過及其績效。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三、財產運用有效程度及現金、財物之盤查。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四、應收、應付帳款及其他資產、負債之查證核對。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五、以上各款應行改進事項。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第六十六條   (公營事業審計應注意事項)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審計機關辦理公有營業及事業機關審計事務，除依前條有關規定辦理外，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應注意左列事項：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一、資產、負債及損益計算之翔實。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二、資金之來源及運用。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三、重大建設事業之興建效能。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四、各項成本、費用及營業收支增減之原因。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五、營業盛衰之趨勢。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六、財務狀況及經營效能。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第六十七條   (審核決算應注意事項)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審計機關審核各機關或各基金決算，應注意左列事項：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lastRenderedPageBreak/>
        <w:t xml:space="preserve">　　一、違法失職或不當情事之有無。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二、預算數之超過或賸餘。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三、施政計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畫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、事業計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畫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或營業計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畫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已成與未成之程度。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四、經濟與不經濟之程度。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五、施政效能、事業效能或營業效能之程度及與同類機關或基金之比較。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六、其他與決算有關事項。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第六十八條   (審核中央決算應注意事項)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審計機關審核中央政府總決算，應注意左列事項：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一、歲入、歲出是否與預算相符；如不相符，其不符之原因。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二、歲入、歲出是否平衡；如不平衡，其不平衡之原因。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三、歲入、歲出是否與國民經濟能力及其發展相適應。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四、歲入、歲出是否與國家施政方針相適應。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五、各方所擬關於歲入、歲出應行改善之意見。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前項所列應行注意事項，於審核地方政府總決算準用之。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第六十九條   (考核績效之報告及建議)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lastRenderedPageBreak/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審計機關考核各機關之績效，如認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為有未盡職責或效能過低者，除通知其上級機關長官外，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應報告監察院；其由於制度規章缺失或設施不良者，應提出建議改善意見於各該機關。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前項考核，如認為有可提升效能或增進公共利益者，應提出建議意見於各該機關或有關機關。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審計機關發現有影響各機關施政或營（事）業效能之潛在風險事項，得提出預警性意見於各該機關或有關機關，妥為因應。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第七十條   (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概算編擬前之提供資料及意見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審計機關於政府編擬年度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概算前，應提供審核以前年度預算執行之有關資料及建議意見。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第六章 核定財務責任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第七十一條   (財務責任之解除條件)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各機關人員對於財務上行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為應負之責任，非經審計機關審查決定，不得解除。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lastRenderedPageBreak/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第七十二條   (長官及主管之損害賠償責任)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第五十八條所列情事，經審核機關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查明未盡善良管理人應有之注意時，該機關長官及主管人員應負損害賠償之責。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第七十三條   (連帶賠償)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由數人共同經管之遺失、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毀損或損失案件，不能確定其中孰為未盡善良管理人應有之注意或故意或重大過失時，各該經管人員應連帶負損害賠償責任；造意人視為共同行為人。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第七十四條   (連帶賠償)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經審計機關決定應剔除或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繳還之款項，其未能依限悉數追還時，如查明該機關長官或其授權代簽人及主辦會計人員，對於簽證該項支出有故意或過失者，應連帶負損害賠償責任。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第七十五條   (超額或誤付賠償)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各機關主辦及經辦出納人員簽發支票或給付現金，如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查明有超過核准人員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lastRenderedPageBreak/>
        <w:t>核准數額，或誤付債權人者，應負損害賠償責任。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支票之經主辦會計人員及主管長官或授權代簽人核簽者，如前項人員未能依限悉數賠償時，應連帶負損害賠償責任。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公庫地區支付機構簽發公庫支票，準用前二項規定。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第七十六條   (憑證不符之賠償責任)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審計機關審核各機關會計簿籍或報告，如發現所載事項與原始憑證不符，致使公款遭受損害者，該主辦及經辦會計人員應負損害賠償責任。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第七十七條   (責任之免除與糾正)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審核機關對於各機關剔除、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繳還或賠償之款項或不當事項，如經查明覆議或再審查，有左列情事之一者，得審酌其情節，免除各該負責人員一部或全部之損害賠償責任，或予以糾正之處置：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一、非由於故意、重大過失或舞弊之情事，經查明屬實者。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二、支出之結果，經查確實獲得相當價值之財物，或顯然可計算之利益者。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lastRenderedPageBreak/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第七十八條   (追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繳執行及延誤之責任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審計機關決定剔除、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繳還或賠償之案件，應通知該負責機關之長官，限期追繳，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通知公庫、公有營業或公有事業主管機關；逾期，該負責機關長官應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即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移送法院強制執行；追繳後，應報告審計機關查核。</w:t>
      </w:r>
    </w:p>
    <w:p w:rsid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 w:hint="eastAsia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前項負責機關之長官，違反前項規定，延誤追繳，致公款遭受損失者，應負損害賠償之責，由公庫、公有營業或公有事業主管機關，依法訴追，</w:t>
      </w:r>
      <w:r w:rsidRPr="00E53B44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>報告審計機關查核。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b/>
          <w:bCs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b/>
          <w:bCs/>
          <w:sz w:val="28"/>
          <w:szCs w:val="36"/>
          <w:lang w:val="fr-FR"/>
        </w:rPr>
        <w:tab/>
        <w:t>第七章 附則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第七十九條   (其他機關團體有關審計之適用)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審計機關對於公私合營之事業，及受公款補助之私人團體應行審計事務，得參照本法之規定執行之。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第八十條   (審計章則表格之訂定)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</w:t>
      </w:r>
      <w:r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關於審計之各種章則及書表格式，由審計部定之。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lastRenderedPageBreak/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第八十一條   (施行細則之訂定)</w:t>
      </w:r>
    </w:p>
    <w:p w:rsidR="00E53B44" w:rsidRPr="00E53B44" w:rsidRDefault="00E53B44" w:rsidP="00E53B44">
      <w:pPr>
        <w:wordWrap/>
        <w:spacing w:before="200" w:after="0" w:line="360" w:lineRule="auto"/>
        <w:ind w:firstLineChars="100" w:firstLine="280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本法施行細則，由審計部訂定，呈請監察院核定之。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ab/>
        <w:t>第八十二條   (施行日期)</w:t>
      </w:r>
    </w:p>
    <w:p w:rsidR="00E53B44" w:rsidRPr="00E53B44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>
        <w:rPr>
          <w:rFonts w:ascii="한컴바탕" w:eastAsia="한컴바탕" w:hAnsi="한컴바탕" w:cs="한컴바탕"/>
          <w:sz w:val="28"/>
          <w:szCs w:val="36"/>
          <w:lang w:val="fr-FR"/>
        </w:rPr>
        <w:t xml:space="preserve">  </w:t>
      </w:r>
      <w:r w:rsidRPr="00E53B44">
        <w:rPr>
          <w:rFonts w:ascii="한컴바탕" w:eastAsia="한컴바탕" w:hAnsi="한컴바탕" w:cs="한컴바탕"/>
          <w:sz w:val="28"/>
          <w:szCs w:val="36"/>
          <w:lang w:val="fr-FR"/>
        </w:rPr>
        <w:t>本法自公布日施行。</w:t>
      </w:r>
    </w:p>
    <w:p w:rsidR="00DC01B9" w:rsidRPr="00DC01B9" w:rsidRDefault="00E53B44" w:rsidP="00E53B44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E53B44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本法修正條文第五十九條施行日期，由審計部定之。</w:t>
      </w:r>
    </w:p>
    <w:sectPr w:rsidR="00DC01B9" w:rsidRPr="00DC01B9" w:rsidSect="00705FF4">
      <w:headerReference w:type="default" r:id="rId7"/>
      <w:footerReference w:type="default" r:id="rId8"/>
      <w:pgSz w:w="11906" w:h="16838"/>
      <w:pgMar w:top="1701" w:right="1440" w:bottom="1440" w:left="144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AE" w:rsidRDefault="005035AE" w:rsidP="00FB3189">
      <w:pPr>
        <w:spacing w:after="0" w:line="240" w:lineRule="auto"/>
      </w:pPr>
      <w:r>
        <w:separator/>
      </w:r>
    </w:p>
  </w:endnote>
  <w:endnote w:type="continuationSeparator" w:id="0">
    <w:p w:rsidR="005035AE" w:rsidRDefault="005035AE" w:rsidP="00FB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215718"/>
      <w:docPartObj>
        <w:docPartGallery w:val="Page Numbers (Bottom of Page)"/>
        <w:docPartUnique/>
      </w:docPartObj>
    </w:sdtPr>
    <w:sdtEndPr/>
    <w:sdtContent>
      <w:p w:rsidR="00705FF4" w:rsidRDefault="00705F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B44" w:rsidRPr="00E53B44">
          <w:rPr>
            <w:lang w:val="ko-KR"/>
          </w:rPr>
          <w:t>24</w:t>
        </w:r>
        <w:r>
          <w:fldChar w:fldCharType="end"/>
        </w:r>
      </w:p>
    </w:sdtContent>
  </w:sdt>
  <w:p w:rsidR="00705FF4" w:rsidRDefault="00705F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AE" w:rsidRDefault="005035AE" w:rsidP="00FB3189">
      <w:pPr>
        <w:spacing w:after="0" w:line="240" w:lineRule="auto"/>
      </w:pPr>
      <w:r>
        <w:separator/>
      </w:r>
    </w:p>
  </w:footnote>
  <w:footnote w:type="continuationSeparator" w:id="0">
    <w:p w:rsidR="005035AE" w:rsidRDefault="005035AE" w:rsidP="00FB3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189" w:rsidRDefault="00FB3189">
    <w:pPr>
      <w:pStyle w:val="a4"/>
    </w:pPr>
    <w:r>
      <w:rPr>
        <w:lang w:bidi="my-MM"/>
      </w:rPr>
      <w:drawing>
        <wp:anchor distT="0" distB="0" distL="114300" distR="114300" simplePos="0" relativeHeight="251658240" behindDoc="0" locked="0" layoutInCell="1" allowOverlap="1" wp14:anchorId="5326C515" wp14:editId="1163987D">
          <wp:simplePos x="0" y="0"/>
          <wp:positionH relativeFrom="column">
            <wp:align>center</wp:align>
          </wp:positionH>
          <wp:positionV relativeFrom="margin">
            <wp:posOffset>-720090</wp:posOffset>
          </wp:positionV>
          <wp:extent cx="6192000" cy="571852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571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89"/>
    <w:rsid w:val="000C448A"/>
    <w:rsid w:val="001B65F1"/>
    <w:rsid w:val="002546D7"/>
    <w:rsid w:val="002828E2"/>
    <w:rsid w:val="002F34F3"/>
    <w:rsid w:val="0031426B"/>
    <w:rsid w:val="0036107C"/>
    <w:rsid w:val="00397C59"/>
    <w:rsid w:val="003C4055"/>
    <w:rsid w:val="003D512F"/>
    <w:rsid w:val="003F50D8"/>
    <w:rsid w:val="005035AE"/>
    <w:rsid w:val="00613DD4"/>
    <w:rsid w:val="00663A37"/>
    <w:rsid w:val="00695EA0"/>
    <w:rsid w:val="00705FF4"/>
    <w:rsid w:val="00763EF6"/>
    <w:rsid w:val="0076660D"/>
    <w:rsid w:val="00952FAA"/>
    <w:rsid w:val="00A63FD2"/>
    <w:rsid w:val="00BF586C"/>
    <w:rsid w:val="00C21CAD"/>
    <w:rsid w:val="00C4632E"/>
    <w:rsid w:val="00CF32A5"/>
    <w:rsid w:val="00DC01B9"/>
    <w:rsid w:val="00E368BD"/>
    <w:rsid w:val="00E53B44"/>
    <w:rsid w:val="00ED638C"/>
    <w:rsid w:val="00F9207F"/>
    <w:rsid w:val="00FB1519"/>
    <w:rsid w:val="00FB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9"/>
    <w:pPr>
      <w:widowControl w:val="0"/>
      <w:wordWrap w:val="0"/>
      <w:autoSpaceDE w:val="0"/>
      <w:autoSpaceDN w:val="0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B3189"/>
    <w:rPr>
      <w:noProof/>
    </w:rPr>
  </w:style>
  <w:style w:type="paragraph" w:styleId="a5">
    <w:name w:val="footer"/>
    <w:basedOn w:val="a"/>
    <w:link w:val="Char0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B3189"/>
    <w:rPr>
      <w:noProof/>
    </w:rPr>
  </w:style>
  <w:style w:type="paragraph" w:styleId="a6">
    <w:name w:val="Balloon Text"/>
    <w:basedOn w:val="a"/>
    <w:link w:val="Char1"/>
    <w:uiPriority w:val="99"/>
    <w:semiHidden/>
    <w:unhideWhenUsed/>
    <w:rsid w:val="00FB31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B3189"/>
    <w:rPr>
      <w:rFonts w:asciiTheme="majorHAnsi" w:eastAsiaTheme="majorEastAsia" w:hAnsiTheme="majorHAnsi" w:cstheme="majorBidi"/>
      <w:noProof/>
      <w:sz w:val="18"/>
      <w:szCs w:val="18"/>
    </w:rPr>
  </w:style>
  <w:style w:type="character" w:styleId="a7">
    <w:name w:val="Hyperlink"/>
    <w:basedOn w:val="a0"/>
    <w:uiPriority w:val="99"/>
    <w:unhideWhenUsed/>
    <w:rsid w:val="00DC0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9"/>
    <w:pPr>
      <w:widowControl w:val="0"/>
      <w:wordWrap w:val="0"/>
      <w:autoSpaceDE w:val="0"/>
      <w:autoSpaceDN w:val="0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B3189"/>
    <w:rPr>
      <w:noProof/>
    </w:rPr>
  </w:style>
  <w:style w:type="paragraph" w:styleId="a5">
    <w:name w:val="footer"/>
    <w:basedOn w:val="a"/>
    <w:link w:val="Char0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B3189"/>
    <w:rPr>
      <w:noProof/>
    </w:rPr>
  </w:style>
  <w:style w:type="paragraph" w:styleId="a6">
    <w:name w:val="Balloon Text"/>
    <w:basedOn w:val="a"/>
    <w:link w:val="Char1"/>
    <w:uiPriority w:val="99"/>
    <w:semiHidden/>
    <w:unhideWhenUsed/>
    <w:rsid w:val="00FB31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B3189"/>
    <w:rPr>
      <w:rFonts w:asciiTheme="majorHAnsi" w:eastAsiaTheme="majorEastAsia" w:hAnsiTheme="majorHAnsi" w:cstheme="majorBidi"/>
      <w:noProof/>
      <w:sz w:val="18"/>
      <w:szCs w:val="18"/>
    </w:rPr>
  </w:style>
  <w:style w:type="character" w:styleId="a7">
    <w:name w:val="Hyperlink"/>
    <w:basedOn w:val="a0"/>
    <w:uiPriority w:val="99"/>
    <w:unhideWhenUsed/>
    <w:rsid w:val="00DC0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1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8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5059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91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275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7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Lee</dc:creator>
  <cp:lastModifiedBy>Kate Lee</cp:lastModifiedBy>
  <cp:revision>3</cp:revision>
  <cp:lastPrinted>2018-06-04T03:57:00Z</cp:lastPrinted>
  <dcterms:created xsi:type="dcterms:W3CDTF">2018-06-14T09:26:00Z</dcterms:created>
  <dcterms:modified xsi:type="dcterms:W3CDTF">2018-11-02T01:06:00Z</dcterms:modified>
</cp:coreProperties>
</file>