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0C" w:rsidRPr="005A0CAE" w:rsidRDefault="005A0CAE" w:rsidP="005A0CAE">
      <w:pPr>
        <w:spacing w:line="360" w:lineRule="auto"/>
        <w:jc w:val="center"/>
        <w:rPr>
          <w:b/>
          <w:bCs/>
          <w:sz w:val="32"/>
          <w:szCs w:val="32"/>
        </w:rPr>
      </w:pPr>
      <w:r w:rsidRPr="005A0CAE">
        <w:rPr>
          <w:b/>
          <w:bCs/>
          <w:sz w:val="32"/>
          <w:szCs w:val="32"/>
          <w:rtl/>
        </w:rPr>
        <w:t>نظام بيع و ايجار عقارات واراضي الدولة و القطاع العام لاغراض الاستثمار و المساطحة عليها 6 لسنة 2017</w:t>
      </w:r>
    </w:p>
    <w:p w:rsidR="005A0CAE" w:rsidRPr="005A0CAE" w:rsidRDefault="005A0CAE" w:rsidP="00AE237C">
      <w:pPr>
        <w:spacing w:line="360" w:lineRule="auto"/>
        <w:ind w:right="120"/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5A0CAE" w:rsidRPr="005A0CAE" w:rsidRDefault="005A0CAE" w:rsidP="005A0CAE">
      <w:pPr>
        <w:spacing w:line="360" w:lineRule="auto"/>
        <w:jc w:val="right"/>
        <w:rPr>
          <w:b/>
          <w:bCs/>
          <w:sz w:val="24"/>
          <w:szCs w:val="24"/>
          <w:lang w:val="en"/>
        </w:rPr>
      </w:pPr>
      <w:r w:rsidRPr="005A0CAE">
        <w:rPr>
          <w:b/>
          <w:bCs/>
          <w:sz w:val="24"/>
          <w:szCs w:val="24"/>
          <w:rtl/>
        </w:rPr>
        <w:t>المادة 1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  <w:rtl/>
        </w:rPr>
      </w:pPr>
      <w:r w:rsidRPr="005A0CAE">
        <w:rPr>
          <w:sz w:val="24"/>
          <w:szCs w:val="24"/>
          <w:rtl/>
        </w:rPr>
        <w:t xml:space="preserve">اولا : تتولى الهيئة الوطنية للاستثمار بالتنسيق مع هيئة الاستثمار في الاقليم او في المحافظة غير المنتظمة في اقليم , تحديد العقارات الملائمة لتنفيذ المشاريع الاستثمارية </w:t>
      </w:r>
      <w:r w:rsidRPr="005A0CAE">
        <w:rPr>
          <w:sz w:val="24"/>
          <w:szCs w:val="24"/>
          <w:rtl/>
        </w:rPr>
        <w:br/>
        <w:t xml:space="preserve">ثانيا : يتم التنسيق مع الجهة المالكة للعقار في شأن تخصيص العقارات الصالحة لاقامة المشاريع الاستثمارية </w:t>
      </w:r>
      <w:r w:rsidRPr="005A0CAE">
        <w:rPr>
          <w:sz w:val="24"/>
          <w:szCs w:val="24"/>
          <w:rtl/>
        </w:rPr>
        <w:br/>
        <w:t>ثالثا: يسلم العقار المخصص للمشروع الى المستثمر خلال (30) ثلاثين يوماً من تاريخ التخصيص خالياً من الشواغل , و في حالة عدم التزام الوزارات و الجهات غير المرتبطة بوزارة بتسليم العقارات المخصصة للاستثمار خلال مدة (60) ستين يوما من تاريخ طلب الهيئة الوطنية للاستثمار فلمجلس الوزارء نقل ملكيتها بدون بدل الى الهيئة لتخصيصها للمشروع الاستثماري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  <w:rtl/>
        </w:rPr>
      </w:pPr>
    </w:p>
    <w:p w:rsidR="005A0CAE" w:rsidRPr="005A0CAE" w:rsidRDefault="005A0CAE" w:rsidP="005A0CAE">
      <w:pPr>
        <w:spacing w:line="360" w:lineRule="auto"/>
        <w:jc w:val="right"/>
        <w:rPr>
          <w:b/>
          <w:bCs/>
          <w:sz w:val="24"/>
          <w:szCs w:val="24"/>
          <w:rtl/>
        </w:rPr>
      </w:pPr>
      <w:r w:rsidRPr="005A0CAE">
        <w:rPr>
          <w:b/>
          <w:bCs/>
          <w:sz w:val="24"/>
          <w:szCs w:val="24"/>
          <w:rtl/>
        </w:rPr>
        <w:t>المادة 2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  <w:rtl/>
        </w:rPr>
      </w:pPr>
      <w:r w:rsidRPr="005A0CAE">
        <w:rPr>
          <w:sz w:val="24"/>
          <w:szCs w:val="24"/>
          <w:rtl/>
        </w:rPr>
        <w:t xml:space="preserve">اولا : أ . تشكل لجنة من :- </w:t>
      </w:r>
      <w:r w:rsidRPr="005A0CAE">
        <w:rPr>
          <w:sz w:val="24"/>
          <w:szCs w:val="24"/>
          <w:rtl/>
        </w:rPr>
        <w:br/>
        <w:t xml:space="preserve">1. رئيس الهيئة الوطنية للاستثمار – رئيسا </w:t>
      </w:r>
      <w:r w:rsidRPr="005A0CAE">
        <w:rPr>
          <w:sz w:val="24"/>
          <w:szCs w:val="24"/>
          <w:rtl/>
        </w:rPr>
        <w:br/>
        <w:t xml:space="preserve">2. رئيس هيئة استثمار الاقليم او المحافظة غير المنتظمة في اقليم المعنية – عضوا </w:t>
      </w:r>
      <w:r w:rsidRPr="005A0CAE">
        <w:rPr>
          <w:sz w:val="24"/>
          <w:szCs w:val="24"/>
          <w:rtl/>
        </w:rPr>
        <w:br/>
        <w:t xml:space="preserve">3. مدير عام الهيئة العامة للضرائب – عضوا </w:t>
      </w:r>
      <w:r w:rsidRPr="005A0CAE">
        <w:rPr>
          <w:sz w:val="24"/>
          <w:szCs w:val="24"/>
          <w:rtl/>
        </w:rPr>
        <w:br/>
        <w:t xml:space="preserve">4. مدير عام دائرة التسجيل العقاري – عضوا </w:t>
      </w:r>
      <w:r w:rsidRPr="005A0CAE">
        <w:rPr>
          <w:sz w:val="24"/>
          <w:szCs w:val="24"/>
          <w:rtl/>
        </w:rPr>
        <w:br/>
        <w:t xml:space="preserve">5. ممثل عن الجهة المالكة للعقار – عضوا </w:t>
      </w:r>
      <w:r w:rsidRPr="005A0CAE">
        <w:rPr>
          <w:sz w:val="24"/>
          <w:szCs w:val="24"/>
          <w:rtl/>
        </w:rPr>
        <w:br/>
        <w:t xml:space="preserve">ب . تتولى اللجنة المنصوص عليها في الفقرة (ا) من هذا البند تقدير قيمة العقارات العائدة للدولة و القطاع العام لاغراض المشاريع الستراتيجية و المشاريع ذات الطابع الاتحادي و المشاريع الاستثمارية التي تكون قيمتها ( 250000000) مئتان و خمسون مليون دولار امريكي فاكثر </w:t>
      </w:r>
      <w:r w:rsidRPr="005A0CAE">
        <w:rPr>
          <w:sz w:val="24"/>
          <w:szCs w:val="24"/>
          <w:rtl/>
        </w:rPr>
        <w:br/>
        <w:t xml:space="preserve">ثانيا : أ . تشكل لجان من : </w:t>
      </w:r>
      <w:r w:rsidRPr="005A0CAE">
        <w:rPr>
          <w:sz w:val="24"/>
          <w:szCs w:val="24"/>
          <w:rtl/>
        </w:rPr>
        <w:br/>
      </w:r>
      <w:r w:rsidRPr="005A0CAE">
        <w:rPr>
          <w:sz w:val="24"/>
          <w:szCs w:val="24"/>
          <w:rtl/>
        </w:rPr>
        <w:lastRenderedPageBreak/>
        <w:t xml:space="preserve">1. رئيس هيئة استثمار الاقليم او المحافظة غير المنتظمة في اقليم – رئيسا </w:t>
      </w:r>
      <w:r w:rsidRPr="005A0CAE">
        <w:rPr>
          <w:sz w:val="24"/>
          <w:szCs w:val="24"/>
          <w:rtl/>
        </w:rPr>
        <w:br/>
        <w:t xml:space="preserve">2. ممثل عن الهيئة الوطنية للاستثمار – عضوا </w:t>
      </w:r>
      <w:r w:rsidRPr="005A0CAE">
        <w:rPr>
          <w:sz w:val="24"/>
          <w:szCs w:val="24"/>
          <w:rtl/>
        </w:rPr>
        <w:br/>
        <w:t xml:space="preserve">3. ممثل عن الهيئة العامة للضرائب في المحافظة – عضوا </w:t>
      </w:r>
      <w:r w:rsidRPr="005A0CAE">
        <w:rPr>
          <w:sz w:val="24"/>
          <w:szCs w:val="24"/>
          <w:rtl/>
        </w:rPr>
        <w:br/>
        <w:t xml:space="preserve">4. ممثل عن دائرة التسجيل العقاري في المحافظة – عضوا </w:t>
      </w:r>
      <w:r w:rsidRPr="005A0CAE">
        <w:rPr>
          <w:sz w:val="24"/>
          <w:szCs w:val="24"/>
          <w:rtl/>
        </w:rPr>
        <w:br/>
        <w:t xml:space="preserve">5. ممثل عن الجهة المالكة للعقار في المحافظة – عضوا </w:t>
      </w:r>
      <w:r w:rsidRPr="005A0CAE">
        <w:rPr>
          <w:sz w:val="24"/>
          <w:szCs w:val="24"/>
          <w:rtl/>
        </w:rPr>
        <w:br/>
        <w:t xml:space="preserve">ب . تتولى اللجان المنصوص عليها في الفقرة (أ) من هذا البند تقدير قيمة العقارات العائدة للدولة و القطاع العام لاغراض المشاريع الاستثمارية التي تقل قيمتها عن ( 250000000) مئتان و خمسون مليون دولار امريكي </w:t>
      </w:r>
      <w:r w:rsidRPr="005A0CAE">
        <w:rPr>
          <w:sz w:val="24"/>
          <w:szCs w:val="24"/>
          <w:rtl/>
        </w:rPr>
        <w:br/>
        <w:t>ثالثا : للجان المنصوص عليها في البندين (اولا ) و ( ثانيا ) من هذه المادة الاسترشاد بضوابط التقديرات المعمول بها لدى الهيئة العامة للضرائب و دائرة التسجيل العقاري و الاستعانة بالتشريعات القانونية المختصة بتقدير قيمة العقار و الخبراء و المختصين لاغراض تقدير بدلات البيع و الايجار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  <w:rtl/>
        </w:rPr>
      </w:pPr>
    </w:p>
    <w:p w:rsidR="005A0CAE" w:rsidRPr="005A0CAE" w:rsidRDefault="005A0CAE" w:rsidP="005A0CAE">
      <w:pPr>
        <w:spacing w:line="360" w:lineRule="auto"/>
        <w:jc w:val="right"/>
        <w:rPr>
          <w:b/>
          <w:bCs/>
          <w:sz w:val="24"/>
          <w:szCs w:val="24"/>
          <w:rtl/>
        </w:rPr>
      </w:pPr>
      <w:r w:rsidRPr="005A0CAE">
        <w:rPr>
          <w:b/>
          <w:bCs/>
          <w:sz w:val="24"/>
          <w:szCs w:val="24"/>
          <w:rtl/>
        </w:rPr>
        <w:t>المادة 3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  <w:rtl/>
        </w:rPr>
      </w:pPr>
      <w:r w:rsidRPr="005A0CAE">
        <w:rPr>
          <w:sz w:val="24"/>
          <w:szCs w:val="24"/>
          <w:rtl/>
        </w:rPr>
        <w:t xml:space="preserve">اولا : تلتزم الجهات المالكة للعقارات ببدلات البيع او الايجار المقدرة من اللجان المشكلة بموجب المادة (2) من هذا النظام , و في حال عدم التزامها تقوم الهيئة الوطنية للاستثمار بعرض محاضر التقدير على مجلس الوزراء لاصدار القرار المناسب باعتمادها </w:t>
      </w:r>
      <w:r w:rsidRPr="005A0CAE">
        <w:rPr>
          <w:sz w:val="24"/>
          <w:szCs w:val="24"/>
          <w:rtl/>
        </w:rPr>
        <w:br/>
        <w:t xml:space="preserve">ثانيا : تلتزم الجهات المالكة للعقارات المخصصة للمشاريع الاستثمارية بابرام عقود التصرفات القانونية عليها خلال (30) ثلاثين يوما من تاريخ تقدير بدلات البيع او الايجار او المساطحة </w:t>
      </w:r>
      <w:r w:rsidRPr="005A0CAE">
        <w:rPr>
          <w:sz w:val="24"/>
          <w:szCs w:val="24"/>
          <w:rtl/>
        </w:rPr>
        <w:br/>
        <w:t>ثالثا : تقوم الهيئة الوطنية للاستثمار بمتابعة و تقويم اداء لجان التقدير الواردة في المادة (2) من هذا النظام و اصدار الاوامر الخاصة بتشكيلها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  <w:rtl/>
        </w:rPr>
      </w:pPr>
    </w:p>
    <w:p w:rsidR="005A0CAE" w:rsidRPr="005A0CAE" w:rsidRDefault="005A0CAE" w:rsidP="005A0CAE">
      <w:pPr>
        <w:spacing w:line="360" w:lineRule="auto"/>
        <w:jc w:val="right"/>
        <w:rPr>
          <w:b/>
          <w:bCs/>
          <w:sz w:val="24"/>
          <w:szCs w:val="24"/>
          <w:rtl/>
        </w:rPr>
      </w:pPr>
      <w:r w:rsidRPr="005A0CAE">
        <w:rPr>
          <w:b/>
          <w:bCs/>
          <w:sz w:val="24"/>
          <w:szCs w:val="24"/>
          <w:rtl/>
        </w:rPr>
        <w:t>المادة 4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  <w:rtl/>
        </w:rPr>
      </w:pPr>
      <w:r w:rsidRPr="005A0CAE">
        <w:rPr>
          <w:sz w:val="24"/>
          <w:szCs w:val="24"/>
          <w:rtl/>
        </w:rPr>
        <w:t xml:space="preserve">اولا : تملك الاراضي المخصصة للمشاريع السكنية ضمن التصميم الاساس ببدل بيع قدره (10%) عشرة من المئة من قيمة الارض على ان يتولى المستثمر ايصال البنى التحتية الخارجية مجانا و تخصيص نسبة (10%) عشرة بالمائة من المساحة المخصصة للمشروع السكني للجهة المالكة لغرض استثمارها </w:t>
      </w:r>
      <w:r w:rsidRPr="005A0CAE">
        <w:rPr>
          <w:sz w:val="24"/>
          <w:szCs w:val="24"/>
          <w:rtl/>
        </w:rPr>
        <w:br/>
      </w:r>
      <w:r w:rsidRPr="005A0CAE">
        <w:rPr>
          <w:sz w:val="24"/>
          <w:szCs w:val="24"/>
          <w:rtl/>
        </w:rPr>
        <w:lastRenderedPageBreak/>
        <w:t xml:space="preserve">ثانيا : يملك المستثمر و المطور و المطور الثانوي الاراضي المخصصة لاغراض الاسكان التي تقع خارج التصميم الاساس بدون بدل , على ان لا يحتسب قيمة الارض ضمن قيمة الوحدة السكنية المباعة للمواطن و ان يتولى المستثمر ايصال البنى التحتية الخارجية للمشروع مجانا و تخصيص نسبة (10%) عشرة بالمائة من المساحة المخصصة للمشروع السكني للجهة المالكة لغرض استثمارها </w:t>
      </w:r>
      <w:r w:rsidRPr="005A0CAE">
        <w:rPr>
          <w:sz w:val="24"/>
          <w:szCs w:val="24"/>
          <w:rtl/>
        </w:rPr>
        <w:br/>
        <w:t xml:space="preserve">ثالثا : أ . تملك الارض المخصصة للمشاريع الصناعية خارج التصميم الاساس ببدل بيع قدره 5% من القيمة الحقيقية للارض </w:t>
      </w:r>
      <w:r w:rsidRPr="005A0CAE">
        <w:rPr>
          <w:sz w:val="24"/>
          <w:szCs w:val="24"/>
          <w:rtl/>
        </w:rPr>
        <w:br/>
        <w:t>ب. تملك الاراضي المخصصة للمشاريع الصناعية التي تقع داخل التصميم الاساس ببدل بيع قدره 15% من القيمة الحقيقية للارض</w:t>
      </w:r>
    </w:p>
    <w:p w:rsidR="005A0CAE" w:rsidRDefault="005A0CAE" w:rsidP="005A0CAE">
      <w:pPr>
        <w:spacing w:line="360" w:lineRule="auto"/>
        <w:jc w:val="right"/>
        <w:rPr>
          <w:sz w:val="24"/>
          <w:szCs w:val="24"/>
        </w:rPr>
      </w:pPr>
    </w:p>
    <w:p w:rsidR="005A0CAE" w:rsidRPr="005A0CAE" w:rsidRDefault="005A0CAE" w:rsidP="005A0CAE">
      <w:pPr>
        <w:spacing w:line="360" w:lineRule="auto"/>
        <w:jc w:val="right"/>
        <w:rPr>
          <w:b/>
          <w:bCs/>
          <w:sz w:val="24"/>
          <w:szCs w:val="24"/>
          <w:rtl/>
        </w:rPr>
      </w:pPr>
      <w:r w:rsidRPr="005A0CAE">
        <w:rPr>
          <w:b/>
          <w:bCs/>
          <w:sz w:val="24"/>
          <w:szCs w:val="24"/>
          <w:rtl/>
        </w:rPr>
        <w:t>المادة 5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  <w:rtl/>
        </w:rPr>
      </w:pPr>
      <w:r w:rsidRPr="005A0CAE">
        <w:rPr>
          <w:sz w:val="24"/>
          <w:szCs w:val="24"/>
          <w:rtl/>
        </w:rPr>
        <w:t xml:space="preserve">تؤجر الجهة المالكة للعقار او الجهة صاحبة حق التصرف بالتنسيق مع الهيئة الوطنية لاستثمار الاراضي و العقارات المخصصة للمشاريع الاستثمارية و فقا للنسب المئوية من بدل الايجار السنوي المقدر لكل منها من اللجان المشكلة بموجب المادة (2) من هذا النظام و على النحو الاتي : </w:t>
      </w:r>
      <w:r w:rsidRPr="005A0CAE">
        <w:rPr>
          <w:sz w:val="24"/>
          <w:szCs w:val="24"/>
          <w:rtl/>
        </w:rPr>
        <w:br/>
        <w:t xml:space="preserve">اولا : أ. الاراضي اللازمة لتنفيذ المشروع او المشاريع السكنية او المدن السكنية المتعددة الاغراض مثل المجمع الترفيهي او التجاري او الخدمي ضمن المدن السكنية بعد افرازها , مقابل بدل ايجار او مساطحة قدره (7%) سبعة من المئة من قيمة بدل الايجار المقدر بنسبة (10%) من القيمة الحقيقية للارض , على ان يقوم المستثمر باعادة الاراضي التي تستخدم للنفع العام مثل الحدائق و الشوارع و غيرها الى الجهات الحكومية المعنية خلال (60) ستين يوما من تاريخ انجاز المشروع مجانا </w:t>
      </w:r>
      <w:r w:rsidRPr="005A0CAE">
        <w:rPr>
          <w:sz w:val="24"/>
          <w:szCs w:val="24"/>
          <w:rtl/>
        </w:rPr>
        <w:br/>
        <w:t xml:space="preserve">ب . يستثنى من احكام الفقرة (أ) انفا الاراضي المخصصة للخدمات العامة غير الربحية داخل المجمعات السكنية مثل مراكز الشرطة و الاطفاء و دور العبادة </w:t>
      </w:r>
      <w:r w:rsidRPr="005A0CAE">
        <w:rPr>
          <w:sz w:val="24"/>
          <w:szCs w:val="24"/>
          <w:rtl/>
        </w:rPr>
        <w:br/>
        <w:t xml:space="preserve">ثانيا : الاراضي و الابنية اللازمة لاغراض تنفيذ المشاريع الاستثمارية الزراعية او الصناعية او الخدمية او السياحية او التجارية او الترفيهية و غيرها على النحو الاتي : </w:t>
      </w:r>
      <w:r w:rsidRPr="005A0CAE">
        <w:rPr>
          <w:sz w:val="24"/>
          <w:szCs w:val="24"/>
          <w:rtl/>
        </w:rPr>
        <w:br/>
        <w:t xml:space="preserve">أ . تؤجر الاراضي المخصصة للمشاريع الزراعية التي تؤدي الى زيادة و تحسين الانتاج الحيواني و النباتي من خلال الاسترشاد بالمصفوفة الفنية المتعمدة لدى وزارة الزراعة و كما ياتي : </w:t>
      </w:r>
      <w:r w:rsidRPr="005A0CAE">
        <w:rPr>
          <w:sz w:val="24"/>
          <w:szCs w:val="24"/>
          <w:rtl/>
        </w:rPr>
        <w:br/>
        <w:t xml:space="preserve">1. الاراضي المستصلحة الصالحة للزراعة و لها حصة مائية ببدل ايجار قدره (20%) عشرون من المائة </w:t>
      </w:r>
      <w:r w:rsidRPr="005A0CAE">
        <w:rPr>
          <w:sz w:val="24"/>
          <w:szCs w:val="24"/>
          <w:rtl/>
        </w:rPr>
        <w:br/>
        <w:t xml:space="preserve">2. الاراضي غير المستصلحة الصالحة للزراعة و لها حصة مائية ببدل ايجار قدره (10%) عشرة من المائة </w:t>
      </w:r>
      <w:r w:rsidRPr="005A0CAE">
        <w:rPr>
          <w:sz w:val="24"/>
          <w:szCs w:val="24"/>
          <w:rtl/>
        </w:rPr>
        <w:br/>
      </w:r>
      <w:r w:rsidRPr="005A0CAE">
        <w:rPr>
          <w:sz w:val="24"/>
          <w:szCs w:val="24"/>
          <w:rtl/>
        </w:rPr>
        <w:lastRenderedPageBreak/>
        <w:t xml:space="preserve">3. الاراضي غسر المستصلحة الصالحة للزراعة و ليس لها حصة مائية ببدل ايجار قدره (2%) اثنان من المائة </w:t>
      </w:r>
      <w:r w:rsidRPr="005A0CAE">
        <w:rPr>
          <w:sz w:val="24"/>
          <w:szCs w:val="24"/>
          <w:rtl/>
        </w:rPr>
        <w:br/>
        <w:t xml:space="preserve">4. الاراضي غير المستصلحة و غير الصالحة للزراعة و ليس لها حصة مائية ببدل ايجار قدره (1%) واحد من المائة </w:t>
      </w:r>
      <w:r w:rsidRPr="005A0CAE">
        <w:rPr>
          <w:sz w:val="24"/>
          <w:szCs w:val="24"/>
          <w:rtl/>
        </w:rPr>
        <w:br/>
        <w:t xml:space="preserve">ب. المشاريع الصناعية التي تقام في المناطق التي تحدد لاغراض المشاريع الاستثمارية الصناعية ببدل ايجا راو مساطحة قدره (2%) اثنان من المائة </w:t>
      </w:r>
      <w:r w:rsidRPr="005A0CAE">
        <w:rPr>
          <w:sz w:val="24"/>
          <w:szCs w:val="24"/>
          <w:rtl/>
        </w:rPr>
        <w:br/>
        <w:t xml:space="preserve">ج. المشاريع الكهربائية و النفطية و غيرها الواقعة خارج حدود البلدية التي تنفذ بصيغة ( </w:t>
      </w:r>
      <w:r w:rsidRPr="005A0CAE">
        <w:rPr>
          <w:sz w:val="24"/>
          <w:szCs w:val="24"/>
          <w:lang w:val="en"/>
        </w:rPr>
        <w:t>BOT</w:t>
      </w:r>
      <w:r w:rsidRPr="005A0CAE">
        <w:rPr>
          <w:sz w:val="24"/>
          <w:szCs w:val="24"/>
          <w:rtl/>
        </w:rPr>
        <w:t>) بناء , تشغيل , تحويل او (</w:t>
      </w:r>
      <w:r w:rsidRPr="005A0CAE">
        <w:rPr>
          <w:sz w:val="24"/>
          <w:szCs w:val="24"/>
          <w:lang w:val="en"/>
        </w:rPr>
        <w:t>BOT</w:t>
      </w:r>
      <w:r w:rsidRPr="005A0CAE">
        <w:rPr>
          <w:sz w:val="24"/>
          <w:szCs w:val="24"/>
          <w:rtl/>
        </w:rPr>
        <w:t xml:space="preserve">) بناء , تشغيل تملك او غيرها ببدل ايجا راو مساطحة قدره (2%) اثنان من المائة </w:t>
      </w:r>
      <w:r w:rsidRPr="005A0CAE">
        <w:rPr>
          <w:sz w:val="24"/>
          <w:szCs w:val="24"/>
          <w:rtl/>
        </w:rPr>
        <w:br/>
        <w:t xml:space="preserve">د. المشاريع الخدمية مثل مشاريع المؤسسات الصحية و التعليمية و غيرها ببدل ايجا راو مساطحة قدره (5%) خمسة من المائة </w:t>
      </w:r>
      <w:r w:rsidRPr="005A0CAE">
        <w:rPr>
          <w:sz w:val="24"/>
          <w:szCs w:val="24"/>
          <w:rtl/>
        </w:rPr>
        <w:br/>
        <w:t xml:space="preserve">هـ . المشاريع السياحية مثل المدن السياحية او مدن الالعاب او المجمعات الترفيهية و غيرها ببدل ايجا راو مساطحة قدره (10%) عشرة من المائة </w:t>
      </w:r>
      <w:r w:rsidRPr="005A0CAE">
        <w:rPr>
          <w:sz w:val="24"/>
          <w:szCs w:val="24"/>
          <w:rtl/>
        </w:rPr>
        <w:br/>
        <w:t>و. المشاريع التجارية مثل المراكز التجارية و الفنادق و غيرها ببدل ايجا راو مساطحة قدره (10%) عشرة من المائة للخمس عشرة سنة الاولى من تاريخ بدء التشغيل التجاري للمشروع , و تكون النسبة بعد انتهاء المدة المذكورة ببدل ايجار قدره (3%) ثلاثة من المائة من قيمة الارض و يثبت ذلك في العقد الاستثماري المبرم بين الطرفين</w:t>
      </w:r>
    </w:p>
    <w:p w:rsidR="005A0CAE" w:rsidRDefault="005A0CAE" w:rsidP="005A0CAE">
      <w:pPr>
        <w:spacing w:line="360" w:lineRule="auto"/>
        <w:jc w:val="right"/>
        <w:rPr>
          <w:sz w:val="24"/>
          <w:szCs w:val="24"/>
        </w:rPr>
      </w:pPr>
    </w:p>
    <w:p w:rsidR="005A0CAE" w:rsidRPr="005A0CAE" w:rsidRDefault="005A0CAE" w:rsidP="005A0CAE">
      <w:pPr>
        <w:spacing w:line="360" w:lineRule="auto"/>
        <w:jc w:val="right"/>
        <w:rPr>
          <w:b/>
          <w:bCs/>
          <w:sz w:val="24"/>
          <w:szCs w:val="24"/>
          <w:rtl/>
        </w:rPr>
      </w:pPr>
      <w:r w:rsidRPr="005A0CAE">
        <w:rPr>
          <w:b/>
          <w:bCs/>
          <w:sz w:val="24"/>
          <w:szCs w:val="24"/>
          <w:rtl/>
        </w:rPr>
        <w:t>المادة 6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  <w:rtl/>
        </w:rPr>
      </w:pPr>
      <w:r w:rsidRPr="005A0CAE">
        <w:rPr>
          <w:sz w:val="24"/>
          <w:szCs w:val="24"/>
          <w:rtl/>
        </w:rPr>
        <w:t>يعاد النظر بتقدير بدلات الايجار المنصوص عليها في النظام كل خمس سنوات</w:t>
      </w:r>
    </w:p>
    <w:p w:rsidR="005A0CAE" w:rsidRDefault="005A0CAE" w:rsidP="005A0CAE">
      <w:pPr>
        <w:spacing w:line="360" w:lineRule="auto"/>
        <w:jc w:val="right"/>
        <w:rPr>
          <w:sz w:val="24"/>
          <w:szCs w:val="24"/>
        </w:rPr>
      </w:pPr>
    </w:p>
    <w:p w:rsidR="005A0CAE" w:rsidRPr="005A0CAE" w:rsidRDefault="005A0CAE" w:rsidP="005A0CAE">
      <w:pPr>
        <w:spacing w:line="360" w:lineRule="auto"/>
        <w:jc w:val="right"/>
        <w:rPr>
          <w:b/>
          <w:bCs/>
          <w:sz w:val="24"/>
          <w:szCs w:val="24"/>
          <w:rtl/>
        </w:rPr>
      </w:pPr>
      <w:r w:rsidRPr="005A0CAE">
        <w:rPr>
          <w:b/>
          <w:bCs/>
          <w:sz w:val="24"/>
          <w:szCs w:val="24"/>
          <w:rtl/>
        </w:rPr>
        <w:t>المادة 7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  <w:rtl/>
        </w:rPr>
      </w:pPr>
      <w:r w:rsidRPr="005A0CAE">
        <w:rPr>
          <w:sz w:val="24"/>
          <w:szCs w:val="24"/>
          <w:rtl/>
        </w:rPr>
        <w:t xml:space="preserve">اولا : تؤول بدلات البيع او الايجار او المساطحة الى الخزينة العامة على ان يعاد تخصيصها الى الجهة المالكة بعد خصم نسبة (50%) خمسين من المئة الى الجهة المالكة للارض وتؤول النسبة المتبقية من البدل الى موازمة الجهات الحكومية المعنية بتقديم خدمات البنى التحتية الخارجية او المرافق العامة داخل المشروع </w:t>
      </w:r>
      <w:r w:rsidRPr="005A0CAE">
        <w:rPr>
          <w:sz w:val="24"/>
          <w:szCs w:val="24"/>
          <w:rtl/>
        </w:rPr>
        <w:br/>
        <w:t xml:space="preserve">ثانيا : تخصص نسبة 5% خمسة من المائة من بدلات بيع الوحدات السكنية للبنى التحتية الخارجية التي يحتاجها المشروع </w:t>
      </w:r>
      <w:r w:rsidRPr="005A0CAE">
        <w:rPr>
          <w:sz w:val="24"/>
          <w:szCs w:val="24"/>
          <w:rtl/>
        </w:rPr>
        <w:br/>
      </w:r>
      <w:r w:rsidRPr="005A0CAE">
        <w:rPr>
          <w:sz w:val="24"/>
          <w:szCs w:val="24"/>
          <w:rtl/>
        </w:rPr>
        <w:lastRenderedPageBreak/>
        <w:t>ثالثا : يبدأ تاريخ استحقاق بدل التمليك او الايجار او المساطحة من تاريخ بدء التشغيل التجاري او الانتاج للمشروع , على ان يلتزم المستثمر بانجاز المشروع خلال المدة المحددة في العقد</w:t>
      </w:r>
    </w:p>
    <w:p w:rsidR="005A0CAE" w:rsidRDefault="005A0CAE" w:rsidP="005A0CAE">
      <w:pPr>
        <w:spacing w:line="360" w:lineRule="auto"/>
        <w:jc w:val="right"/>
        <w:rPr>
          <w:sz w:val="24"/>
          <w:szCs w:val="24"/>
        </w:rPr>
      </w:pPr>
    </w:p>
    <w:p w:rsidR="005A0CAE" w:rsidRPr="005A0CAE" w:rsidRDefault="005A0CAE" w:rsidP="005A0CAE">
      <w:pPr>
        <w:spacing w:line="360" w:lineRule="auto"/>
        <w:jc w:val="right"/>
        <w:rPr>
          <w:b/>
          <w:bCs/>
          <w:sz w:val="24"/>
          <w:szCs w:val="24"/>
          <w:rtl/>
        </w:rPr>
      </w:pPr>
      <w:r w:rsidRPr="005A0CAE">
        <w:rPr>
          <w:b/>
          <w:bCs/>
          <w:sz w:val="24"/>
          <w:szCs w:val="24"/>
          <w:rtl/>
        </w:rPr>
        <w:t>المادة 8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  <w:rtl/>
        </w:rPr>
      </w:pPr>
      <w:r w:rsidRPr="005A0CAE">
        <w:rPr>
          <w:sz w:val="24"/>
          <w:szCs w:val="24"/>
          <w:rtl/>
        </w:rPr>
        <w:t>اولا : تسري بدلات البيع او الايجار او المساطحة الواردة في هذا النظام على المشاريع الاستثمارية السكنية الحاصلة على اجازات استثمار نافذة قبل صدور  </w:t>
      </w:r>
      <w:hyperlink r:id="rId4" w:history="1">
        <w:r w:rsidRPr="005A0CAE">
          <w:rPr>
            <w:rStyle w:val="a3"/>
            <w:sz w:val="24"/>
            <w:szCs w:val="24"/>
            <w:rtl/>
          </w:rPr>
          <w:t xml:space="preserve">التعديل الثاني لقانون الاستثمار رقم (50) لسنة 2015 </w:t>
        </w:r>
      </w:hyperlink>
      <w:r w:rsidRPr="005A0CAE">
        <w:rPr>
          <w:sz w:val="24"/>
          <w:szCs w:val="24"/>
          <w:rtl/>
        </w:rPr>
        <w:t xml:space="preserve">و لم تبرم بشانها عقود تمليك او مساطحة حصرا </w:t>
      </w:r>
      <w:r w:rsidRPr="005A0CAE">
        <w:rPr>
          <w:sz w:val="24"/>
          <w:szCs w:val="24"/>
          <w:rtl/>
        </w:rPr>
        <w:br/>
        <w:t>ثانيا : لاتسري بدلات البيع او الايجار او المساطحة المحددة بموجب هذا النظام على المشاريع الاستثمارية ( مع مراعاة الفقرة اولا انفا ) التي تم تقدير بدلات ايجارها او بيعها وفقا لاحكام  </w:t>
      </w:r>
      <w:hyperlink r:id="rId5" w:history="1">
        <w:r w:rsidRPr="005A0CAE">
          <w:rPr>
            <w:rStyle w:val="a3"/>
            <w:sz w:val="24"/>
            <w:szCs w:val="24"/>
            <w:rtl/>
          </w:rPr>
          <w:t>نظام بيع وايجار عقارات واراضي الدولة و القطاع العام لاغراض الاستثمار رقم (7) لسنة 2010</w:t>
        </w:r>
      </w:hyperlink>
    </w:p>
    <w:p w:rsidR="005A0CAE" w:rsidRDefault="005A0CAE" w:rsidP="005A0CAE">
      <w:pPr>
        <w:spacing w:line="360" w:lineRule="auto"/>
        <w:jc w:val="right"/>
        <w:rPr>
          <w:sz w:val="24"/>
          <w:szCs w:val="24"/>
        </w:rPr>
      </w:pPr>
    </w:p>
    <w:p w:rsidR="005A0CAE" w:rsidRPr="005A0CAE" w:rsidRDefault="005A0CAE" w:rsidP="005A0CAE">
      <w:pPr>
        <w:spacing w:line="360" w:lineRule="auto"/>
        <w:jc w:val="right"/>
        <w:rPr>
          <w:b/>
          <w:bCs/>
          <w:sz w:val="24"/>
          <w:szCs w:val="24"/>
          <w:rtl/>
        </w:rPr>
      </w:pPr>
      <w:r w:rsidRPr="005A0CAE">
        <w:rPr>
          <w:b/>
          <w:bCs/>
          <w:sz w:val="24"/>
          <w:szCs w:val="24"/>
          <w:rtl/>
        </w:rPr>
        <w:t>المادة 9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  <w:rtl/>
        </w:rPr>
      </w:pPr>
      <w:r w:rsidRPr="005A0CAE">
        <w:rPr>
          <w:sz w:val="24"/>
          <w:szCs w:val="24"/>
          <w:rtl/>
        </w:rPr>
        <w:t>يلغى  </w:t>
      </w:r>
      <w:hyperlink r:id="rId6" w:history="1">
        <w:r w:rsidRPr="005A0CAE">
          <w:rPr>
            <w:rStyle w:val="a3"/>
            <w:sz w:val="24"/>
            <w:szCs w:val="24"/>
            <w:rtl/>
          </w:rPr>
          <w:t>نظام بيع و ايجار عقارات واراضي الدولة و القطاع العام لاغراض الاستثمار رقم (7) لسنة 2010</w:t>
        </w:r>
      </w:hyperlink>
    </w:p>
    <w:p w:rsidR="005A0CAE" w:rsidRDefault="005A0CAE" w:rsidP="005A0CAE">
      <w:pPr>
        <w:spacing w:line="360" w:lineRule="auto"/>
        <w:jc w:val="right"/>
        <w:rPr>
          <w:sz w:val="24"/>
          <w:szCs w:val="24"/>
        </w:rPr>
      </w:pPr>
    </w:p>
    <w:p w:rsidR="005A0CAE" w:rsidRPr="005A0CAE" w:rsidRDefault="005A0CAE" w:rsidP="005A0CAE">
      <w:pPr>
        <w:spacing w:line="360" w:lineRule="auto"/>
        <w:jc w:val="right"/>
        <w:rPr>
          <w:b/>
          <w:bCs/>
          <w:sz w:val="24"/>
          <w:szCs w:val="24"/>
          <w:rtl/>
        </w:rPr>
      </w:pPr>
      <w:r w:rsidRPr="005A0CAE">
        <w:rPr>
          <w:b/>
          <w:bCs/>
          <w:sz w:val="24"/>
          <w:szCs w:val="24"/>
          <w:rtl/>
        </w:rPr>
        <w:t>المادة 10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  <w:rtl/>
        </w:rPr>
      </w:pPr>
      <w:r w:rsidRPr="005A0CAE">
        <w:rPr>
          <w:sz w:val="24"/>
          <w:szCs w:val="24"/>
          <w:rtl/>
        </w:rPr>
        <w:t xml:space="preserve">ينفذ هذا النظام من تاريخ نشره في الجريدة الرسمية </w:t>
      </w:r>
    </w:p>
    <w:p w:rsidR="005A0CAE" w:rsidRPr="005A0CAE" w:rsidRDefault="005A0CAE" w:rsidP="005A0CAE">
      <w:pPr>
        <w:spacing w:line="360" w:lineRule="auto"/>
        <w:jc w:val="right"/>
        <w:rPr>
          <w:sz w:val="24"/>
          <w:szCs w:val="24"/>
        </w:rPr>
      </w:pPr>
    </w:p>
    <w:p w:rsidR="005A0CAE" w:rsidRPr="005A0CAE" w:rsidRDefault="005A0CAE" w:rsidP="005A0CAE">
      <w:pPr>
        <w:spacing w:line="360" w:lineRule="auto"/>
        <w:jc w:val="right"/>
        <w:rPr>
          <w:rFonts w:hint="eastAsia"/>
          <w:sz w:val="24"/>
          <w:szCs w:val="24"/>
        </w:rPr>
      </w:pPr>
    </w:p>
    <w:sectPr w:rsidR="005A0CAE" w:rsidRPr="005A0C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AE"/>
    <w:rsid w:val="005A0CAE"/>
    <w:rsid w:val="006201FC"/>
    <w:rsid w:val="00AE237C"/>
    <w:rsid w:val="00BF5A30"/>
    <w:rsid w:val="00E3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AE1B"/>
  <w15:chartTrackingRefBased/>
  <w15:docId w15:val="{CB7FB11E-1F4E-472E-958E-F8CBBAE5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253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426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aqld.iq/LoadLawBook.aspx?SC=160520119134893" TargetMode="External"/><Relationship Id="rId5" Type="http://schemas.openxmlformats.org/officeDocument/2006/relationships/hyperlink" Target="http://www.iraqld.iq/LoadLawBook.aspx?SC=160520119134893" TargetMode="External"/><Relationship Id="rId4" Type="http://schemas.openxmlformats.org/officeDocument/2006/relationships/hyperlink" Target="http://www.iraqld.iq/LoadLawBook.aspx?SC=130320168831297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2018-06-11T08:54:00Z</dcterms:created>
  <dcterms:modified xsi:type="dcterms:W3CDTF">2018-06-11T08:56:00Z</dcterms:modified>
</cp:coreProperties>
</file>